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A74B5">
      <w:pPr>
        <w:pStyle w:val="2"/>
        <w:keepNext w:val="0"/>
        <w:keepLines w:val="0"/>
        <w:widowControl/>
        <w:shd w:val="clear" w:color="auto" w:fill="FFFFFF"/>
        <w:spacing w:before="0" w:after="0"/>
        <w:jc w:val="center"/>
        <w:rPr>
          <w:rFonts w:hint="eastAsia" w:ascii="黑体" w:hAnsi="宋体" w:eastAsia="黑体" w:cs="宋体"/>
          <w:bCs/>
          <w:color w:val="000000"/>
          <w:kern w:val="0"/>
          <w:sz w:val="36"/>
          <w:szCs w:val="36"/>
        </w:rPr>
      </w:pPr>
      <w:r>
        <w:rPr>
          <w:rFonts w:hint="eastAsia" w:ascii="黑体" w:hAnsi="宋体" w:eastAsia="黑体" w:cs="宋体"/>
          <w:bCs/>
          <w:color w:val="000000"/>
          <w:kern w:val="0"/>
          <w:sz w:val="36"/>
          <w:szCs w:val="36"/>
          <w:u w:val="single"/>
          <w:lang w:val="en-US" w:eastAsia="zh-CN"/>
        </w:rPr>
        <w:t>黑猫环保-（第二次道闸门等采购项目）</w:t>
      </w:r>
      <w:r>
        <w:rPr>
          <w:rFonts w:hint="eastAsia" w:ascii="黑体" w:hAnsi="宋体" w:eastAsia="黑体" w:cs="宋体"/>
          <w:bCs/>
          <w:color w:val="000000"/>
          <w:kern w:val="0"/>
          <w:sz w:val="36"/>
          <w:szCs w:val="36"/>
          <w:u w:val="single"/>
        </w:rPr>
        <w:t>公开询价</w:t>
      </w:r>
      <w:r>
        <w:rPr>
          <w:rFonts w:hint="eastAsia" w:ascii="黑体" w:hAnsi="宋体" w:eastAsia="黑体" w:cs="宋体"/>
          <w:bCs/>
          <w:color w:val="000000"/>
          <w:kern w:val="0"/>
          <w:sz w:val="36"/>
          <w:szCs w:val="36"/>
        </w:rPr>
        <w:t>招标公告</w:t>
      </w:r>
    </w:p>
    <w:p w14:paraId="6F7D32EF">
      <w:pPr>
        <w:widowControl/>
        <w:tabs>
          <w:tab w:val="left" w:pos="2020"/>
          <w:tab w:val="center" w:pos="4535"/>
        </w:tabs>
        <w:spacing w:line="480" w:lineRule="exact"/>
        <w:ind w:firstLine="480" w:firstLineChars="200"/>
        <w:jc w:val="left"/>
        <w:outlineLvl w:val="0"/>
        <w:rPr>
          <w:rFonts w:ascii="宋体" w:hAnsi="宋体" w:cs="宋体"/>
          <w:bCs/>
          <w:color w:val="000000"/>
          <w:kern w:val="0"/>
          <w:sz w:val="24"/>
        </w:rPr>
      </w:pPr>
      <w:r>
        <w:rPr>
          <w:rFonts w:hint="eastAsia" w:ascii="Tahoma" w:hAnsi="Tahoma" w:cs="Tahoma"/>
          <w:color w:val="000000"/>
          <w:kern w:val="0"/>
          <w:sz w:val="24"/>
          <w:u w:val="single"/>
          <w:lang w:val="en-US" w:eastAsia="zh-CN"/>
        </w:rPr>
        <w:t>景德镇市黑猫环保科技有限责任</w:t>
      </w:r>
      <w:r>
        <w:rPr>
          <w:rFonts w:hint="eastAsia" w:ascii="Tahoma" w:hAnsi="Tahoma" w:cs="Tahoma"/>
          <w:color w:val="000000"/>
          <w:kern w:val="0"/>
          <w:sz w:val="24"/>
          <w:u w:val="single"/>
        </w:rPr>
        <w:t>公司</w:t>
      </w:r>
      <w:r>
        <w:rPr>
          <w:rFonts w:hint="eastAsia" w:ascii="Tahoma" w:hAnsi="Tahoma" w:cs="Tahoma"/>
          <w:color w:val="000000"/>
          <w:kern w:val="0"/>
          <w:sz w:val="24"/>
        </w:rPr>
        <w:t>现</w:t>
      </w:r>
      <w:r>
        <w:rPr>
          <w:rFonts w:ascii="Tahoma" w:hAnsi="Tahoma" w:cs="Tahoma"/>
          <w:color w:val="000000"/>
          <w:kern w:val="0"/>
          <w:sz w:val="24"/>
        </w:rPr>
        <w:t>对</w:t>
      </w:r>
      <w:r>
        <w:rPr>
          <w:rFonts w:hint="eastAsia" w:ascii="Tahoma" w:hAnsi="Tahoma" w:cs="Tahoma"/>
          <w:color w:val="000000"/>
          <w:kern w:val="0"/>
          <w:sz w:val="24"/>
          <w:u w:val="single"/>
          <w:lang w:eastAsia="zh-CN"/>
        </w:rPr>
        <w:t>（</w:t>
      </w:r>
      <w:r>
        <w:rPr>
          <w:rFonts w:hint="eastAsia" w:ascii="Tahoma" w:hAnsi="Tahoma" w:cs="Tahoma"/>
          <w:color w:val="000000"/>
          <w:kern w:val="0"/>
          <w:sz w:val="24"/>
          <w:u w:val="single"/>
          <w:lang w:val="en-US" w:eastAsia="zh-CN"/>
        </w:rPr>
        <w:t>第二次道闸门等采购项目）</w:t>
      </w:r>
      <w:r>
        <w:rPr>
          <w:rFonts w:ascii="Tahoma" w:hAnsi="Tahoma" w:cs="Tahoma"/>
          <w:color w:val="000000"/>
          <w:kern w:val="0"/>
          <w:sz w:val="24"/>
        </w:rPr>
        <w:t>进行</w:t>
      </w:r>
      <w:r>
        <w:rPr>
          <w:rFonts w:hint="eastAsia" w:ascii="Tahoma" w:hAnsi="Tahoma" w:cs="Tahoma"/>
          <w:color w:val="000000"/>
          <w:kern w:val="0"/>
          <w:sz w:val="24"/>
        </w:rPr>
        <w:t>询价采购</w:t>
      </w:r>
      <w:r>
        <w:rPr>
          <w:rFonts w:ascii="Tahoma" w:hAnsi="Tahoma" w:cs="Tahoma"/>
          <w:color w:val="000000"/>
          <w:kern w:val="0"/>
          <w:sz w:val="24"/>
        </w:rPr>
        <w:t>，特</w:t>
      </w:r>
      <w:r>
        <w:rPr>
          <w:rFonts w:hint="eastAsia" w:ascii="Tahoma" w:hAnsi="Tahoma" w:cs="Tahoma"/>
          <w:color w:val="000000"/>
          <w:kern w:val="0"/>
          <w:sz w:val="24"/>
        </w:rPr>
        <w:t>面向</w:t>
      </w:r>
      <w:r>
        <w:rPr>
          <w:rFonts w:ascii="Tahoma" w:hAnsi="Tahoma" w:cs="Tahoma"/>
          <w:color w:val="000000"/>
          <w:kern w:val="0"/>
          <w:sz w:val="24"/>
        </w:rPr>
        <w:t>全社会</w:t>
      </w:r>
      <w:r>
        <w:rPr>
          <w:rFonts w:hint="eastAsia" w:ascii="Tahoma" w:hAnsi="Tahoma" w:cs="Tahoma"/>
          <w:color w:val="000000"/>
          <w:kern w:val="0"/>
          <w:sz w:val="24"/>
        </w:rPr>
        <w:t>公开</w:t>
      </w:r>
      <w:r>
        <w:rPr>
          <w:rFonts w:ascii="Tahoma" w:hAnsi="Tahoma" w:cs="Tahoma"/>
          <w:color w:val="000000"/>
          <w:kern w:val="0"/>
          <w:sz w:val="24"/>
        </w:rPr>
        <w:t>邀请</w:t>
      </w:r>
      <w:r>
        <w:rPr>
          <w:rFonts w:hint="eastAsia" w:ascii="Tahoma" w:hAnsi="Tahoma" w:cs="Tahoma"/>
          <w:color w:val="000000"/>
          <w:kern w:val="0"/>
          <w:sz w:val="24"/>
        </w:rPr>
        <w:t>符合</w:t>
      </w:r>
      <w:r>
        <w:rPr>
          <w:rFonts w:ascii="Tahoma" w:hAnsi="Tahoma" w:cs="Tahoma"/>
          <w:color w:val="000000"/>
          <w:kern w:val="0"/>
          <w:sz w:val="24"/>
        </w:rPr>
        <w:t>条件有关单位参加</w:t>
      </w:r>
      <w:r>
        <w:rPr>
          <w:rFonts w:hint="eastAsia" w:ascii="Tahoma" w:hAnsi="Tahoma" w:cs="Tahoma"/>
          <w:color w:val="000000"/>
          <w:kern w:val="0"/>
          <w:sz w:val="24"/>
        </w:rPr>
        <w:t>本项目公开</w:t>
      </w:r>
      <w:r>
        <w:rPr>
          <w:rFonts w:ascii="Tahoma" w:hAnsi="Tahoma" w:cs="Tahoma"/>
          <w:color w:val="000000"/>
          <w:kern w:val="0"/>
          <w:sz w:val="24"/>
        </w:rPr>
        <w:t>询价</w:t>
      </w:r>
      <w:r>
        <w:rPr>
          <w:rFonts w:hint="eastAsia" w:ascii="Tahoma" w:hAnsi="Tahoma" w:cs="Tahoma"/>
          <w:color w:val="000000"/>
          <w:kern w:val="0"/>
          <w:sz w:val="24"/>
        </w:rPr>
        <w:t>招标</w:t>
      </w:r>
      <w:r>
        <w:rPr>
          <w:rFonts w:ascii="Tahoma" w:hAnsi="Tahoma" w:cs="Tahoma"/>
          <w:color w:val="000000"/>
          <w:kern w:val="0"/>
          <w:sz w:val="24"/>
        </w:rPr>
        <w:t>，现将有关事项公告如下；</w:t>
      </w:r>
    </w:p>
    <w:p w14:paraId="7394D62D">
      <w:pPr>
        <w:widowControl/>
        <w:spacing w:before="156" w:beforeLines="50" w:line="480" w:lineRule="exact"/>
        <w:jc w:val="left"/>
        <w:rPr>
          <w:rFonts w:hint="eastAsia" w:ascii="宋体" w:hAnsi="宋体" w:eastAsia="宋体" w:cs="宋体"/>
          <w:b/>
          <w:color w:val="000000"/>
          <w:kern w:val="0"/>
          <w:sz w:val="24"/>
          <w:u w:val="single"/>
          <w:lang w:val="en-US" w:eastAsia="zh-CN"/>
        </w:rPr>
      </w:pPr>
      <w:r>
        <w:rPr>
          <w:rFonts w:hint="eastAsia" w:ascii="宋体" w:hAnsi="宋体" w:cs="宋体"/>
          <w:b/>
          <w:color w:val="000000"/>
          <w:kern w:val="0"/>
          <w:sz w:val="24"/>
        </w:rPr>
        <w:t>一、项目名称:</w:t>
      </w:r>
      <w:r>
        <w:rPr>
          <w:rFonts w:hint="eastAsia" w:ascii="宋体" w:hAnsi="宋体" w:cs="宋体"/>
          <w:b/>
          <w:sz w:val="24"/>
        </w:rPr>
        <w:t xml:space="preserve"> </w:t>
      </w:r>
      <w:r>
        <w:rPr>
          <w:rFonts w:hint="eastAsia" w:ascii="宋体" w:hAnsi="宋体" w:cs="宋体"/>
          <w:b/>
          <w:sz w:val="24"/>
          <w:u w:val="single"/>
          <w:lang w:val="en-US" w:eastAsia="zh-CN"/>
        </w:rPr>
        <w:t>黑猫环保-第二次道闸门等采购项目</w:t>
      </w:r>
    </w:p>
    <w:p w14:paraId="007BE7DC">
      <w:pPr>
        <w:spacing w:line="480" w:lineRule="exact"/>
        <w:ind w:firstLine="472" w:firstLineChars="196"/>
        <w:rPr>
          <w:rFonts w:hint="default" w:ascii="宋体" w:hAnsi="宋体" w:eastAsia="宋体" w:cs="宋体"/>
          <w:b/>
          <w:color w:val="000000"/>
          <w:kern w:val="0"/>
          <w:sz w:val="24"/>
          <w:u w:val="single"/>
          <w:lang w:val="en-US" w:eastAsia="zh-CN"/>
        </w:rPr>
      </w:pPr>
      <w:r>
        <w:rPr>
          <w:rFonts w:hint="eastAsia" w:ascii="宋体" w:hAnsi="宋体" w:cs="宋体"/>
          <w:b/>
          <w:color w:val="000000"/>
          <w:kern w:val="0"/>
          <w:sz w:val="24"/>
        </w:rPr>
        <w:t>项目编号：</w:t>
      </w:r>
      <w:r>
        <w:rPr>
          <w:rFonts w:hint="eastAsia" w:ascii="宋体" w:hAnsi="宋体" w:cs="宋体"/>
          <w:b/>
          <w:color w:val="000000"/>
          <w:kern w:val="0"/>
          <w:sz w:val="24"/>
          <w:u w:val="single"/>
          <w:lang w:val="en-US" w:eastAsia="zh-CN"/>
        </w:rPr>
        <w:t>黑环询价</w:t>
      </w:r>
      <w:r>
        <w:rPr>
          <w:rFonts w:hint="eastAsia" w:ascii="宋体" w:hAnsi="宋体" w:cs="宋体"/>
          <w:b/>
          <w:color w:val="FF0000"/>
          <w:kern w:val="0"/>
          <w:sz w:val="24"/>
          <w:u w:val="single"/>
        </w:rPr>
        <w:t>202</w:t>
      </w:r>
      <w:r>
        <w:rPr>
          <w:rFonts w:hint="eastAsia" w:ascii="宋体" w:hAnsi="宋体" w:cs="宋体"/>
          <w:b/>
          <w:color w:val="FF0000"/>
          <w:kern w:val="0"/>
          <w:sz w:val="24"/>
          <w:u w:val="single"/>
          <w:lang w:val="en-US" w:eastAsia="zh-CN"/>
        </w:rPr>
        <w:t>50528036</w:t>
      </w:r>
    </w:p>
    <w:p w14:paraId="7BA2A72A">
      <w:pPr>
        <w:spacing w:line="480" w:lineRule="exact"/>
        <w:ind w:firstLine="472" w:firstLineChars="196"/>
        <w:rPr>
          <w:rFonts w:hint="eastAsia" w:ascii="宋体" w:hAnsi="宋体" w:cs="宋体"/>
          <w:b/>
          <w:color w:val="000000"/>
          <w:kern w:val="0"/>
          <w:sz w:val="24"/>
          <w:u w:val="single"/>
        </w:rPr>
      </w:pPr>
      <w:r>
        <w:rPr>
          <w:rFonts w:hint="eastAsia" w:ascii="宋体" w:hAnsi="宋体" w:cs="宋体"/>
          <w:b/>
          <w:color w:val="000000"/>
          <w:kern w:val="0"/>
          <w:sz w:val="24"/>
        </w:rPr>
        <w:t>采购方式：</w:t>
      </w:r>
      <w:r>
        <w:rPr>
          <w:rFonts w:hint="eastAsia" w:ascii="宋体" w:hAnsi="宋体" w:cs="宋体"/>
          <w:b/>
          <w:color w:val="000000"/>
          <w:kern w:val="0"/>
          <w:sz w:val="24"/>
          <w:u w:val="single"/>
        </w:rPr>
        <w:t>公开询价招标</w:t>
      </w:r>
    </w:p>
    <w:p w14:paraId="2F97CEC7">
      <w:pPr>
        <w:widowControl/>
        <w:numPr>
          <w:ilvl w:val="0"/>
          <w:numId w:val="1"/>
        </w:numPr>
        <w:spacing w:before="75" w:after="75" w:line="400" w:lineRule="exact"/>
        <w:jc w:val="left"/>
        <w:rPr>
          <w:rFonts w:cs="宋体"/>
          <w:b/>
          <w:color w:val="000000"/>
          <w:kern w:val="0"/>
          <w:sz w:val="24"/>
        </w:rPr>
      </w:pPr>
      <w:r>
        <w:rPr>
          <w:rFonts w:hint="eastAsia" w:cs="宋体"/>
          <w:b/>
          <w:color w:val="000000"/>
          <w:kern w:val="0"/>
          <w:sz w:val="24"/>
        </w:rPr>
        <w:t>询价</w:t>
      </w:r>
      <w:r>
        <w:rPr>
          <w:rFonts w:cs="宋体"/>
          <w:b/>
          <w:color w:val="000000"/>
          <w:kern w:val="0"/>
          <w:sz w:val="24"/>
        </w:rPr>
        <w:t>内容：</w:t>
      </w:r>
    </w:p>
    <w:tbl>
      <w:tblPr>
        <w:tblStyle w:val="11"/>
        <w:tblW w:w="835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6"/>
        <w:gridCol w:w="1503"/>
        <w:gridCol w:w="1476"/>
        <w:gridCol w:w="818"/>
        <w:gridCol w:w="768"/>
        <w:gridCol w:w="1339"/>
        <w:gridCol w:w="1178"/>
        <w:gridCol w:w="744"/>
      </w:tblGrid>
      <w:tr w14:paraId="17FBE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26"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92AA7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序号</w:t>
            </w:r>
          </w:p>
        </w:tc>
        <w:tc>
          <w:tcPr>
            <w:tcW w:w="1503" w:type="dxa"/>
            <w:tcBorders>
              <w:top w:val="single" w:color="000000" w:sz="8" w:space="0"/>
              <w:left w:val="nil"/>
              <w:bottom w:val="single" w:color="000000" w:sz="8" w:space="0"/>
              <w:right w:val="single" w:color="000000" w:sz="8" w:space="0"/>
            </w:tcBorders>
            <w:shd w:val="clear" w:color="auto" w:fill="auto"/>
            <w:noWrap/>
            <w:vAlign w:val="center"/>
          </w:tcPr>
          <w:p w14:paraId="08D6C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物资名称</w:t>
            </w:r>
          </w:p>
        </w:tc>
        <w:tc>
          <w:tcPr>
            <w:tcW w:w="1476" w:type="dxa"/>
            <w:tcBorders>
              <w:top w:val="single" w:color="000000" w:sz="8" w:space="0"/>
              <w:left w:val="nil"/>
              <w:bottom w:val="single" w:color="000000" w:sz="8" w:space="0"/>
              <w:right w:val="single" w:color="000000" w:sz="8" w:space="0"/>
            </w:tcBorders>
            <w:shd w:val="clear" w:color="auto" w:fill="auto"/>
            <w:noWrap/>
            <w:vAlign w:val="center"/>
          </w:tcPr>
          <w:p w14:paraId="3D67C3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规格型号</w:t>
            </w:r>
          </w:p>
        </w:tc>
        <w:tc>
          <w:tcPr>
            <w:tcW w:w="818" w:type="dxa"/>
            <w:tcBorders>
              <w:top w:val="single" w:color="000000" w:sz="8" w:space="0"/>
              <w:left w:val="nil"/>
              <w:bottom w:val="single" w:color="000000" w:sz="8" w:space="0"/>
              <w:right w:val="single" w:color="000000" w:sz="8" w:space="0"/>
            </w:tcBorders>
            <w:shd w:val="clear" w:color="auto" w:fill="auto"/>
            <w:noWrap/>
            <w:vAlign w:val="center"/>
          </w:tcPr>
          <w:p w14:paraId="059B1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计量单位</w:t>
            </w:r>
          </w:p>
        </w:tc>
        <w:tc>
          <w:tcPr>
            <w:tcW w:w="768" w:type="dxa"/>
            <w:tcBorders>
              <w:top w:val="single" w:color="000000" w:sz="8" w:space="0"/>
              <w:left w:val="nil"/>
              <w:bottom w:val="single" w:color="000000" w:sz="8" w:space="0"/>
              <w:right w:val="single" w:color="000000" w:sz="8" w:space="0"/>
            </w:tcBorders>
            <w:shd w:val="clear" w:color="auto" w:fill="auto"/>
            <w:noWrap/>
            <w:vAlign w:val="center"/>
          </w:tcPr>
          <w:p w14:paraId="585510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数量</w:t>
            </w:r>
          </w:p>
        </w:tc>
        <w:tc>
          <w:tcPr>
            <w:tcW w:w="1339" w:type="dxa"/>
            <w:tcBorders>
              <w:top w:val="single" w:color="000000" w:sz="8" w:space="0"/>
              <w:left w:val="nil"/>
              <w:bottom w:val="single" w:color="000000" w:sz="8" w:space="0"/>
              <w:right w:val="single" w:color="000000" w:sz="8" w:space="0"/>
            </w:tcBorders>
            <w:shd w:val="clear" w:color="auto" w:fill="auto"/>
            <w:noWrap/>
            <w:vAlign w:val="center"/>
          </w:tcPr>
          <w:p w14:paraId="5A7AC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控制价单价（元）</w:t>
            </w:r>
          </w:p>
        </w:tc>
        <w:tc>
          <w:tcPr>
            <w:tcW w:w="1178" w:type="dxa"/>
            <w:tcBorders>
              <w:top w:val="single" w:color="000000" w:sz="8" w:space="0"/>
              <w:left w:val="nil"/>
              <w:bottom w:val="nil"/>
              <w:right w:val="single" w:color="000000" w:sz="8" w:space="0"/>
            </w:tcBorders>
            <w:shd w:val="clear" w:color="auto" w:fill="auto"/>
            <w:noWrap/>
            <w:vAlign w:val="center"/>
          </w:tcPr>
          <w:p w14:paraId="2D5EDF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控制价小计（元）</w:t>
            </w:r>
          </w:p>
        </w:tc>
        <w:tc>
          <w:tcPr>
            <w:tcW w:w="74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4482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69967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DF2FA">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w:t>
            </w:r>
          </w:p>
        </w:tc>
        <w:tc>
          <w:tcPr>
            <w:tcW w:w="1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0AC12">
            <w:pPr>
              <w:jc w:val="center"/>
              <w:rPr>
                <w:rFonts w:ascii="宋体" w:hAnsi="宋体" w:eastAsia="宋体"/>
                <w:sz w:val="20"/>
                <w:szCs w:val="20"/>
              </w:rPr>
            </w:pPr>
            <w:r>
              <w:rPr>
                <w:rFonts w:hint="eastAsia" w:ascii="宋体" w:hAnsi="宋体" w:eastAsia="宋体"/>
                <w:sz w:val="20"/>
                <w:szCs w:val="20"/>
              </w:rPr>
              <w:t>门卫机动车道闸、广告门及生产区摆闸门采购</w:t>
            </w:r>
          </w:p>
          <w:p w14:paraId="0766C7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C10A7">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详见本公告后附的技术规范书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6B021">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个</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193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2"/>
                <w:szCs w:val="22"/>
                <w:u w:val="none"/>
                <w:lang w:val="en-US" w:eastAsia="zh-CN" w:bidi="ar"/>
              </w:rPr>
              <w:t>1</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CC9B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56150</w:t>
            </w:r>
          </w:p>
        </w:tc>
        <w:tc>
          <w:tcPr>
            <w:tcW w:w="1178"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4D1EC71F">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0"/>
                <w:szCs w:val="20"/>
                <w:u w:val="none"/>
                <w:lang w:val="en-US" w:eastAsia="zh-CN" w:bidi="ar"/>
              </w:rPr>
              <w:t>56150</w:t>
            </w:r>
          </w:p>
        </w:tc>
        <w:tc>
          <w:tcPr>
            <w:tcW w:w="74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7F67A92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p>
        </w:tc>
      </w:tr>
    </w:tbl>
    <w:p w14:paraId="10691809">
      <w:pPr>
        <w:widowControl/>
        <w:numPr>
          <w:ilvl w:val="0"/>
          <w:numId w:val="0"/>
        </w:numPr>
        <w:spacing w:line="480" w:lineRule="exact"/>
        <w:jc w:val="left"/>
        <w:rPr>
          <w:rFonts w:hint="eastAsia" w:ascii="宋体" w:hAnsi="宋体" w:eastAsia="宋体" w:cs="宋体"/>
          <w:i w:val="0"/>
          <w:iCs w:val="0"/>
          <w:caps w:val="0"/>
          <w:color w:val="444444"/>
          <w:spacing w:val="0"/>
          <w:sz w:val="21"/>
          <w:szCs w:val="21"/>
          <w:shd w:val="clear" w:fill="FFFFFF"/>
          <w:lang w:eastAsia="zh-CN" w:bidi="ar"/>
        </w:rPr>
      </w:pPr>
      <w:r>
        <w:rPr>
          <w:rFonts w:hint="eastAsia" w:ascii="宋体" w:hAnsi="宋体" w:eastAsia="宋体" w:cs="宋体"/>
          <w:b/>
          <w:bCs/>
          <w:color w:val="000000"/>
          <w:kern w:val="0"/>
          <w:szCs w:val="21"/>
          <w:lang w:val="en-US" w:eastAsia="zh-CN"/>
        </w:rPr>
        <w:t>采购项目</w:t>
      </w:r>
      <w:r>
        <w:rPr>
          <w:rFonts w:hint="eastAsia" w:ascii="宋体" w:hAnsi="宋体" w:eastAsia="宋体" w:cs="宋体"/>
          <w:b/>
          <w:bCs/>
          <w:color w:val="000000"/>
          <w:kern w:val="0"/>
          <w:szCs w:val="21"/>
        </w:rPr>
        <w:t>费用</w:t>
      </w:r>
      <w:r>
        <w:rPr>
          <w:rFonts w:hint="eastAsia" w:ascii="宋体" w:hAnsi="宋体" w:eastAsia="宋体" w:cs="宋体"/>
          <w:color w:val="000000"/>
          <w:kern w:val="0"/>
          <w:szCs w:val="21"/>
        </w:rPr>
        <w:t>：</w:t>
      </w:r>
    </w:p>
    <w:p w14:paraId="640EA431">
      <w:pPr>
        <w:keepNext w:val="0"/>
        <w:keepLines w:val="0"/>
        <w:widowControl/>
        <w:numPr>
          <w:ilvl w:val="0"/>
          <w:numId w:val="2"/>
        </w:numPr>
        <w:suppressLineNumbers w:val="0"/>
        <w:spacing w:before="0" w:beforeAutospacing="1" w:after="0" w:afterAutospacing="1"/>
        <w:ind w:left="720" w:hanging="360"/>
        <w:rPr>
          <w:b w:val="0"/>
          <w:bCs w:val="0"/>
          <w:sz w:val="24"/>
          <w:szCs w:val="24"/>
        </w:rPr>
      </w:pPr>
      <w:r>
        <w:rPr>
          <w:rFonts w:hint="eastAsia" w:ascii="宋体" w:hAnsi="宋体" w:eastAsia="宋体" w:cs="宋体"/>
          <w:b w:val="0"/>
          <w:bCs w:val="0"/>
          <w:i w:val="0"/>
          <w:iCs w:val="0"/>
          <w:color w:val="000000"/>
          <w:sz w:val="24"/>
          <w:szCs w:val="24"/>
        </w:rPr>
        <w:t>本次询价的报价单位在系统里进行。</w:t>
      </w:r>
    </w:p>
    <w:p w14:paraId="0B841484">
      <w:pPr>
        <w:keepNext w:val="0"/>
        <w:keepLines w:val="0"/>
        <w:widowControl/>
        <w:numPr>
          <w:ilvl w:val="0"/>
          <w:numId w:val="2"/>
        </w:numPr>
        <w:suppressLineNumbers w:val="0"/>
        <w:spacing w:before="0" w:beforeAutospacing="1" w:after="0" w:afterAutospacing="1"/>
        <w:ind w:left="720" w:hanging="360"/>
        <w:rPr>
          <w:b w:val="0"/>
          <w:bCs w:val="0"/>
          <w:sz w:val="24"/>
          <w:szCs w:val="24"/>
        </w:rPr>
      </w:pPr>
      <w:r>
        <w:rPr>
          <w:rFonts w:hint="eastAsia" w:ascii="宋体" w:hAnsi="宋体" w:cs="宋体"/>
          <w:b w:val="0"/>
          <w:bCs w:val="0"/>
          <w:i w:val="0"/>
          <w:iCs w:val="0"/>
          <w:color w:val="000000"/>
          <w:sz w:val="24"/>
          <w:szCs w:val="24"/>
          <w:lang w:val="en-US" w:eastAsia="zh-CN"/>
        </w:rPr>
        <w:t>本次采购含运费、税费等所有一切费用，我司将不再以任何形式支付任何其他费用。</w:t>
      </w:r>
    </w:p>
    <w:p w14:paraId="73A937EF">
      <w:pPr>
        <w:keepNext w:val="0"/>
        <w:keepLines w:val="0"/>
        <w:widowControl/>
        <w:numPr>
          <w:ilvl w:val="0"/>
          <w:numId w:val="2"/>
        </w:numPr>
        <w:suppressLineNumbers w:val="0"/>
        <w:spacing w:before="0" w:beforeAutospacing="1" w:after="0" w:afterAutospacing="1"/>
        <w:ind w:left="720" w:hanging="360"/>
        <w:rPr>
          <w:b w:val="0"/>
          <w:bCs w:val="0"/>
          <w:sz w:val="24"/>
          <w:szCs w:val="24"/>
        </w:rPr>
      </w:pPr>
      <w:r>
        <w:rPr>
          <w:rFonts w:hint="eastAsia" w:ascii="宋体" w:hAnsi="宋体" w:cs="宋体"/>
          <w:b w:val="0"/>
          <w:bCs w:val="0"/>
          <w:i w:val="0"/>
          <w:iCs w:val="0"/>
          <w:color w:val="000000"/>
          <w:sz w:val="24"/>
          <w:szCs w:val="24"/>
          <w:lang w:val="en-US" w:eastAsia="zh-CN"/>
        </w:rPr>
        <w:t>本项目控制价为56150元，不含税价，我司要求中标单位开具增值税专票，加上税点后不得高于本项目控制价。</w:t>
      </w:r>
    </w:p>
    <w:p w14:paraId="39518A88">
      <w:pPr>
        <w:keepNext w:val="0"/>
        <w:keepLines w:val="0"/>
        <w:widowControl/>
        <w:numPr>
          <w:ilvl w:val="0"/>
          <w:numId w:val="2"/>
        </w:numPr>
        <w:suppressLineNumbers w:val="0"/>
        <w:spacing w:before="0" w:beforeAutospacing="1" w:after="0" w:afterAutospacing="1"/>
        <w:ind w:left="720" w:hanging="360"/>
        <w:rPr>
          <w:b w:val="0"/>
          <w:bCs w:val="0"/>
          <w:sz w:val="24"/>
          <w:szCs w:val="24"/>
        </w:rPr>
      </w:pPr>
      <w:r>
        <w:rPr>
          <w:rFonts w:hint="eastAsia"/>
          <w:b w:val="0"/>
          <w:bCs w:val="0"/>
          <w:sz w:val="24"/>
          <w:szCs w:val="24"/>
          <w:lang w:val="en-US" w:eastAsia="zh-CN"/>
        </w:rPr>
        <w:t>付款方式：</w:t>
      </w:r>
      <w:r>
        <w:rPr>
          <w:rFonts w:hint="eastAsia" w:ascii="宋体" w:hAnsi="宋体" w:eastAsia="宋体" w:cs="宋体"/>
          <w:b w:val="0"/>
          <w:bCs w:val="0"/>
          <w:i w:val="0"/>
          <w:iCs w:val="0"/>
          <w:color w:val="000000"/>
          <w:sz w:val="24"/>
          <w:szCs w:val="24"/>
        </w:rPr>
        <w:t>按照我司要求送货，我司将在货物验收</w:t>
      </w:r>
      <w:r>
        <w:rPr>
          <w:rFonts w:hint="eastAsia" w:ascii="宋体" w:hAnsi="宋体" w:cs="宋体"/>
          <w:b w:val="0"/>
          <w:bCs w:val="0"/>
          <w:i w:val="0"/>
          <w:iCs w:val="0"/>
          <w:color w:val="000000"/>
          <w:sz w:val="24"/>
          <w:szCs w:val="24"/>
          <w:lang w:val="en-US" w:eastAsia="zh-CN"/>
        </w:rPr>
        <w:t>合格</w:t>
      </w:r>
      <w:r>
        <w:rPr>
          <w:rFonts w:hint="eastAsia" w:ascii="宋体" w:hAnsi="宋体" w:eastAsia="宋体" w:cs="宋体"/>
          <w:b w:val="0"/>
          <w:bCs w:val="0"/>
          <w:i w:val="0"/>
          <w:iCs w:val="0"/>
          <w:color w:val="000000"/>
          <w:sz w:val="24"/>
          <w:szCs w:val="24"/>
        </w:rPr>
        <w:t>并收到中标单位出具的增值税专用发票后，</w:t>
      </w:r>
      <w:r>
        <w:rPr>
          <w:rFonts w:hint="eastAsia" w:ascii="宋体" w:hAnsi="宋体" w:cs="宋体"/>
          <w:b w:val="0"/>
          <w:bCs w:val="0"/>
          <w:i w:val="0"/>
          <w:iCs w:val="0"/>
          <w:color w:val="000000"/>
          <w:sz w:val="24"/>
          <w:szCs w:val="24"/>
          <w:lang w:val="en-US" w:eastAsia="zh-CN"/>
        </w:rPr>
        <w:t>依据实际使用情况</w:t>
      </w:r>
      <w:r>
        <w:rPr>
          <w:rFonts w:hint="eastAsia" w:ascii="宋体" w:hAnsi="宋体" w:eastAsia="宋体" w:cs="宋体"/>
          <w:b w:val="0"/>
          <w:bCs w:val="0"/>
          <w:i w:val="0"/>
          <w:iCs w:val="0"/>
          <w:color w:val="000000"/>
          <w:sz w:val="24"/>
          <w:szCs w:val="24"/>
        </w:rPr>
        <w:t>支付</w:t>
      </w:r>
      <w:r>
        <w:rPr>
          <w:rFonts w:hint="eastAsia" w:ascii="宋体" w:hAnsi="宋体" w:cs="宋体"/>
          <w:b w:val="0"/>
          <w:bCs w:val="0"/>
          <w:i w:val="0"/>
          <w:iCs w:val="0"/>
          <w:color w:val="000000"/>
          <w:sz w:val="24"/>
          <w:szCs w:val="24"/>
          <w:lang w:val="en-US" w:eastAsia="zh-CN"/>
        </w:rPr>
        <w:t>90%</w:t>
      </w:r>
      <w:r>
        <w:rPr>
          <w:rFonts w:hint="eastAsia" w:ascii="宋体" w:hAnsi="宋体" w:eastAsia="宋体" w:cs="宋体"/>
          <w:b w:val="0"/>
          <w:bCs w:val="0"/>
          <w:i w:val="0"/>
          <w:iCs w:val="0"/>
          <w:color w:val="000000"/>
          <w:sz w:val="24"/>
          <w:szCs w:val="24"/>
        </w:rPr>
        <w:t>款项</w:t>
      </w:r>
      <w:r>
        <w:rPr>
          <w:rFonts w:hint="eastAsia" w:ascii="宋体" w:hAnsi="宋体" w:cs="宋体"/>
          <w:b w:val="0"/>
          <w:bCs w:val="0"/>
          <w:i w:val="0"/>
          <w:iCs w:val="0"/>
          <w:color w:val="000000"/>
          <w:sz w:val="24"/>
          <w:szCs w:val="24"/>
          <w:lang w:eastAsia="zh-CN"/>
        </w:rPr>
        <w:t>，</w:t>
      </w:r>
      <w:r>
        <w:rPr>
          <w:rFonts w:hint="eastAsia" w:ascii="宋体" w:hAnsi="宋体" w:cs="宋体"/>
          <w:b w:val="0"/>
          <w:bCs w:val="0"/>
          <w:i w:val="0"/>
          <w:iCs w:val="0"/>
          <w:color w:val="000000"/>
          <w:sz w:val="24"/>
          <w:szCs w:val="24"/>
          <w:lang w:val="en-US" w:eastAsia="zh-CN"/>
        </w:rPr>
        <w:t>质保期2年后支付剩余10%</w:t>
      </w:r>
      <w:r>
        <w:rPr>
          <w:rFonts w:hint="eastAsia"/>
          <w:b w:val="0"/>
          <w:bCs w:val="0"/>
          <w:sz w:val="24"/>
          <w:szCs w:val="24"/>
          <w:lang w:val="en-US" w:eastAsia="zh-CN"/>
        </w:rPr>
        <w:t>。</w:t>
      </w:r>
    </w:p>
    <w:p w14:paraId="1401E91E">
      <w:pPr>
        <w:keepNext w:val="0"/>
        <w:keepLines w:val="0"/>
        <w:widowControl/>
        <w:numPr>
          <w:ilvl w:val="0"/>
          <w:numId w:val="2"/>
        </w:numPr>
        <w:suppressLineNumbers w:val="0"/>
        <w:spacing w:before="0" w:beforeAutospacing="1" w:after="0" w:afterAutospacing="1"/>
        <w:ind w:left="720" w:hanging="360"/>
        <w:rPr>
          <w:rFonts w:hint="eastAsia" w:ascii="宋体" w:hAnsi="宋体" w:eastAsia="宋体" w:cs="宋体"/>
          <w:b w:val="0"/>
          <w:bCs w:val="0"/>
          <w:i w:val="0"/>
          <w:iCs w:val="0"/>
          <w:color w:val="000000"/>
          <w:sz w:val="24"/>
          <w:szCs w:val="24"/>
          <w:lang w:eastAsia="zh-CN"/>
        </w:rPr>
      </w:pPr>
      <w:r>
        <w:rPr>
          <w:rFonts w:hint="eastAsia" w:ascii="宋体" w:hAnsi="宋体" w:cs="宋体"/>
          <w:b w:val="0"/>
          <w:bCs w:val="0"/>
          <w:color w:val="000000"/>
          <w:kern w:val="0"/>
          <w:sz w:val="24"/>
          <w:szCs w:val="24"/>
          <w:lang w:val="en-US" w:eastAsia="zh-CN"/>
        </w:rPr>
        <w:t>本次报价为含税价，请报价单位在备注中注明税率，所有没有备注税率的报价将被视为无效报价而不予以采纳，并做废标处理。</w:t>
      </w:r>
    </w:p>
    <w:p w14:paraId="3C308ACE">
      <w:pPr>
        <w:widowControl/>
        <w:spacing w:before="156" w:beforeLines="50" w:line="480" w:lineRule="exact"/>
        <w:jc w:val="left"/>
        <w:rPr>
          <w:rFonts w:hint="eastAsia" w:ascii="宋体" w:hAnsi="宋体" w:cs="宋体"/>
          <w:color w:val="000000"/>
          <w:kern w:val="0"/>
          <w:sz w:val="24"/>
        </w:rPr>
      </w:pPr>
      <w:r>
        <w:rPr>
          <w:rFonts w:hint="eastAsia" w:ascii="宋体" w:hAnsi="宋体" w:cs="宋体"/>
          <w:b/>
          <w:color w:val="000000"/>
          <w:kern w:val="0"/>
          <w:sz w:val="24"/>
        </w:rPr>
        <w:t>三、合格报价单位的</w:t>
      </w:r>
      <w:r>
        <w:rPr>
          <w:rFonts w:ascii="宋体" w:hAnsi="宋体" w:cs="宋体"/>
          <w:b/>
          <w:color w:val="000000"/>
          <w:kern w:val="0"/>
          <w:sz w:val="24"/>
        </w:rPr>
        <w:t>资格条件</w:t>
      </w:r>
    </w:p>
    <w:p w14:paraId="4EB30538">
      <w:pPr>
        <w:snapToGrid w:val="0"/>
        <w:spacing w:line="48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（1）必须具有独立的营业执照，国家</w:t>
      </w:r>
      <w:r>
        <w:rPr>
          <w:rFonts w:ascii="宋体" w:hAnsi="宋体" w:cs="宋体"/>
          <w:color w:val="000000"/>
          <w:kern w:val="0"/>
          <w:sz w:val="24"/>
        </w:rPr>
        <w:t>或行业</w:t>
      </w:r>
      <w:r>
        <w:rPr>
          <w:rFonts w:hint="eastAsia" w:ascii="宋体" w:hAnsi="宋体" w:cs="宋体"/>
          <w:color w:val="000000"/>
          <w:kern w:val="0"/>
          <w:sz w:val="24"/>
        </w:rPr>
        <w:t>等</w:t>
      </w:r>
      <w:r>
        <w:rPr>
          <w:rFonts w:ascii="宋体" w:hAnsi="宋体" w:cs="宋体"/>
          <w:color w:val="000000"/>
          <w:kern w:val="0"/>
          <w:sz w:val="24"/>
        </w:rPr>
        <w:t>相关</w:t>
      </w:r>
      <w:r>
        <w:rPr>
          <w:rFonts w:hint="eastAsia" w:ascii="宋体" w:hAnsi="宋体" w:cs="宋体"/>
          <w:color w:val="000000"/>
          <w:kern w:val="0"/>
          <w:sz w:val="24"/>
        </w:rPr>
        <w:t>规定</w:t>
      </w:r>
      <w:r>
        <w:rPr>
          <w:rFonts w:ascii="宋体" w:hAnsi="宋体" w:cs="宋体"/>
          <w:color w:val="000000"/>
          <w:kern w:val="0"/>
          <w:sz w:val="24"/>
        </w:rPr>
        <w:t>可以实施询价采购内容</w:t>
      </w:r>
      <w:r>
        <w:rPr>
          <w:rFonts w:hint="eastAsia" w:ascii="宋体" w:hAnsi="宋体" w:cs="宋体"/>
          <w:color w:val="000000"/>
          <w:kern w:val="0"/>
          <w:sz w:val="24"/>
        </w:rPr>
        <w:t>的报价</w:t>
      </w:r>
      <w:r>
        <w:rPr>
          <w:rFonts w:ascii="宋体" w:hAnsi="宋体" w:cs="宋体"/>
          <w:color w:val="000000"/>
          <w:kern w:val="0"/>
          <w:sz w:val="24"/>
        </w:rPr>
        <w:t>单位</w:t>
      </w:r>
      <w:r>
        <w:rPr>
          <w:rFonts w:hint="eastAsia" w:ascii="宋体" w:hAnsi="宋体" w:cs="宋体"/>
          <w:color w:val="000000"/>
          <w:kern w:val="0"/>
          <w:sz w:val="24"/>
        </w:rPr>
        <w:t>；</w:t>
      </w:r>
    </w:p>
    <w:p w14:paraId="3D313409">
      <w:pPr>
        <w:snapToGrid w:val="0"/>
        <w:spacing w:line="480" w:lineRule="exact"/>
        <w:ind w:firstLine="480" w:firstLineChars="200"/>
        <w:rPr>
          <w:rFonts w:ascii="宋体" w:hAnsi="宋体" w:cs="宋体"/>
          <w:color w:val="000000"/>
          <w:kern w:val="0"/>
          <w:sz w:val="24"/>
        </w:rPr>
      </w:pPr>
      <w:r>
        <w:rPr>
          <w:rFonts w:hint="eastAsia" w:ascii="宋体" w:hAnsi="宋体" w:cs="宋体"/>
          <w:color w:val="000000"/>
          <w:kern w:val="0"/>
          <w:sz w:val="24"/>
        </w:rPr>
        <w:t>（2）被“信用中国”网站列入失信被执行人、重大税收违法案件当事人名单、政府采购严重违法失信行为记录名单的供应商及被“国家企业信用信息公示系统”列入严重违法失信企业名单（黑名单）的供应商，不得参与招标采购活动（投标截止时间前上述违法信息记录已经移除或删除的除外），由采购</w:t>
      </w:r>
      <w:r>
        <w:rPr>
          <w:rFonts w:ascii="宋体" w:hAnsi="宋体" w:cs="宋体"/>
          <w:color w:val="000000"/>
          <w:kern w:val="0"/>
          <w:sz w:val="24"/>
        </w:rPr>
        <w:t>人</w:t>
      </w:r>
      <w:r>
        <w:rPr>
          <w:rFonts w:hint="eastAsia" w:ascii="宋体" w:hAnsi="宋体" w:cs="宋体"/>
          <w:color w:val="000000"/>
          <w:kern w:val="0"/>
          <w:sz w:val="24"/>
        </w:rPr>
        <w:t>指定人</w:t>
      </w:r>
      <w:r>
        <w:rPr>
          <w:rFonts w:ascii="宋体" w:hAnsi="宋体" w:cs="宋体"/>
          <w:color w:val="000000"/>
          <w:kern w:val="0"/>
          <w:sz w:val="24"/>
        </w:rPr>
        <w:t>员</w:t>
      </w:r>
      <w:r>
        <w:rPr>
          <w:rFonts w:hint="eastAsia" w:ascii="宋体" w:hAnsi="宋体" w:cs="宋体"/>
          <w:color w:val="000000"/>
          <w:kern w:val="0"/>
          <w:sz w:val="24"/>
        </w:rPr>
        <w:t>在开标时网查；</w:t>
      </w:r>
    </w:p>
    <w:p w14:paraId="151D344C">
      <w:pPr>
        <w:snapToGrid w:val="0"/>
        <w:spacing w:line="48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3</w:t>
      </w:r>
      <w:r>
        <w:rPr>
          <w:rFonts w:hint="eastAsia" w:ascii="宋体" w:hAnsi="宋体" w:cs="宋体"/>
          <w:color w:val="000000"/>
          <w:kern w:val="0"/>
          <w:sz w:val="24"/>
        </w:rPr>
        <w:t>）报价人不可以随意或恶意捣乱报价，如果报价中标后，不能执行其竞标报价，采购人将上报相关监管</w:t>
      </w:r>
      <w:r>
        <w:rPr>
          <w:rFonts w:ascii="宋体" w:hAnsi="宋体" w:cs="宋体"/>
          <w:color w:val="000000"/>
          <w:kern w:val="0"/>
          <w:sz w:val="24"/>
        </w:rPr>
        <w:t>部门对</w:t>
      </w:r>
      <w:r>
        <w:rPr>
          <w:rFonts w:hint="eastAsia" w:ascii="宋体" w:hAnsi="宋体" w:cs="宋体"/>
          <w:color w:val="000000"/>
          <w:kern w:val="0"/>
          <w:sz w:val="24"/>
        </w:rPr>
        <w:t>其</w:t>
      </w:r>
      <w:r>
        <w:rPr>
          <w:rFonts w:ascii="宋体" w:hAnsi="宋体" w:cs="宋体"/>
          <w:color w:val="000000"/>
          <w:kern w:val="0"/>
          <w:sz w:val="24"/>
        </w:rPr>
        <w:t>进行处罚</w:t>
      </w:r>
      <w:r>
        <w:rPr>
          <w:rFonts w:hint="eastAsia" w:ascii="宋体" w:hAnsi="宋体" w:cs="宋体"/>
          <w:color w:val="000000"/>
          <w:kern w:val="0"/>
          <w:sz w:val="24"/>
        </w:rPr>
        <w:t xml:space="preserve">； </w:t>
      </w:r>
    </w:p>
    <w:p w14:paraId="4FADE22C">
      <w:pPr>
        <w:snapToGrid w:val="0"/>
        <w:spacing w:line="480" w:lineRule="exact"/>
        <w:ind w:firstLine="480" w:firstLineChars="200"/>
        <w:rPr>
          <w:rFonts w:ascii="宋体" w:hAns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4</w:t>
      </w:r>
      <w:r>
        <w:rPr>
          <w:rFonts w:hint="eastAsia" w:ascii="宋体" w:hAnsi="宋体" w:cs="宋体"/>
          <w:color w:val="000000"/>
          <w:kern w:val="0"/>
          <w:sz w:val="24"/>
        </w:rPr>
        <w:t>）关联报价单位不得参加同一合同项下询价采购活动，否则报价将被视为无效。单位负责人为同一人或者存在直接控股、管理关系的不同的报价单位，不得参加同一合同项下的询价采购活动。</w:t>
      </w:r>
    </w:p>
    <w:p w14:paraId="012EBB65">
      <w:pPr>
        <w:snapToGrid w:val="0"/>
        <w:spacing w:line="48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5</w:t>
      </w:r>
      <w:r>
        <w:rPr>
          <w:rFonts w:hint="eastAsia" w:ascii="宋体" w:hAnsi="宋体" w:cs="宋体"/>
          <w:color w:val="000000"/>
          <w:kern w:val="0"/>
          <w:sz w:val="24"/>
        </w:rPr>
        <w:t>）本项目不接受联合体报价。</w:t>
      </w:r>
    </w:p>
    <w:p w14:paraId="589BBE2E">
      <w:pPr>
        <w:pStyle w:val="10"/>
        <w:keepNext w:val="0"/>
        <w:keepLines w:val="0"/>
        <w:widowControl/>
        <w:suppressLineNumbers w:val="0"/>
        <w:spacing w:before="0" w:beforeAutospacing="0" w:after="0" w:afterAutospacing="0" w:line="432" w:lineRule="auto"/>
        <w:ind w:left="0" w:right="0"/>
        <w:jc w:val="both"/>
        <w:rPr>
          <w:rFonts w:ascii="Microsoft Yahei Font" w:hAnsi="Microsoft Yahei Font" w:eastAsia="Microsoft Yahei Font" w:cs="Microsoft Yahei Font"/>
          <w:sz w:val="24"/>
          <w:szCs w:val="24"/>
        </w:rPr>
      </w:pPr>
      <w:r>
        <w:rPr>
          <w:rFonts w:hint="eastAsia" w:ascii="宋体" w:hAnsi="宋体" w:eastAsia="宋体" w:cs="宋体"/>
          <w:b/>
          <w:bCs/>
          <w:color w:val="2B3642"/>
          <w:sz w:val="24"/>
          <w:szCs w:val="24"/>
          <w:shd w:val="clear" w:color="auto" w:fill="FFFFFF"/>
        </w:rPr>
        <w:t>供应商（谈判单位）操作手册：</w:t>
      </w:r>
      <w:r>
        <w:rPr>
          <w:rFonts w:hint="default" w:ascii="Times New Roman" w:hAnsi="Times New Roman" w:eastAsia="宋体" w:cs="Times New Roman"/>
          <w:color w:val="2B3642"/>
          <w:sz w:val="21"/>
          <w:szCs w:val="21"/>
          <w:shd w:val="clear" w:color="auto" w:fill="FFFFFF"/>
        </w:rPr>
        <w:t>http://www.hmjtztb.com/banshi/index.jhtml</w:t>
      </w:r>
    </w:p>
    <w:p w14:paraId="1CB44480">
      <w:pPr>
        <w:pStyle w:val="10"/>
        <w:keepNext w:val="0"/>
        <w:keepLines w:val="0"/>
        <w:widowControl/>
        <w:suppressLineNumbers w:val="0"/>
        <w:spacing w:before="0" w:beforeAutospacing="0" w:after="0" w:afterAutospacing="0" w:line="432" w:lineRule="auto"/>
        <w:ind w:left="0" w:right="0"/>
        <w:jc w:val="both"/>
        <w:rPr>
          <w:rFonts w:hint="default" w:ascii="Microsoft Yahei Font" w:hAnsi="Microsoft Yahei Font" w:eastAsia="Microsoft Yahei Font" w:cs="Microsoft Yahei Font"/>
          <w:sz w:val="24"/>
          <w:szCs w:val="24"/>
        </w:rPr>
      </w:pPr>
      <w:r>
        <w:rPr>
          <w:rFonts w:hint="eastAsia" w:ascii="宋体" w:hAnsi="宋体" w:eastAsia="宋体" w:cs="宋体"/>
          <w:b/>
          <w:bCs/>
          <w:color w:val="2B3642"/>
          <w:sz w:val="24"/>
          <w:szCs w:val="24"/>
          <w:shd w:val="clear" w:color="auto" w:fill="FFFFFF"/>
        </w:rPr>
        <w:t>驱动程序下载地址：</w:t>
      </w:r>
      <w:r>
        <w:rPr>
          <w:rFonts w:hint="default" w:ascii="Times New Roman" w:hAnsi="Times New Roman" w:eastAsia="宋体" w:cs="Times New Roman"/>
          <w:color w:val="2B3642"/>
          <w:sz w:val="21"/>
          <w:szCs w:val="21"/>
          <w:shd w:val="clear" w:color="auto" w:fill="FFFFFF"/>
        </w:rPr>
        <w:t>http://www.hmjtztb.com/down/index.jhtml</w:t>
      </w:r>
    </w:p>
    <w:p w14:paraId="3A96DA9E">
      <w:pPr>
        <w:pStyle w:val="10"/>
        <w:keepNext w:val="0"/>
        <w:keepLines w:val="0"/>
        <w:widowControl/>
        <w:suppressLineNumbers w:val="0"/>
        <w:spacing w:before="0" w:beforeAutospacing="0" w:after="0" w:afterAutospacing="0" w:line="432" w:lineRule="auto"/>
        <w:ind w:left="0" w:right="0"/>
        <w:jc w:val="both"/>
        <w:rPr>
          <w:rFonts w:hint="default" w:ascii="Microsoft Yahei Font" w:hAnsi="Microsoft Yahei Font" w:eastAsia="Microsoft Yahei Font" w:cs="Microsoft Yahei Font"/>
          <w:sz w:val="24"/>
          <w:szCs w:val="24"/>
        </w:rPr>
      </w:pPr>
      <w:r>
        <w:rPr>
          <w:rFonts w:hint="eastAsia" w:ascii="宋体" w:hAnsi="宋体" w:eastAsia="宋体" w:cs="宋体"/>
          <w:b/>
          <w:bCs/>
          <w:color w:val="2B3642"/>
          <w:sz w:val="24"/>
          <w:szCs w:val="24"/>
          <w:shd w:val="clear" w:color="auto" w:fill="FFFFFF"/>
        </w:rPr>
        <w:t>注册入库及数字证书办理指南：</w:t>
      </w:r>
      <w:r>
        <w:rPr>
          <w:rFonts w:hint="default" w:ascii="Times New Roman" w:hAnsi="Times New Roman" w:eastAsia="宋体" w:cs="Times New Roman"/>
          <w:color w:val="2B3642"/>
          <w:sz w:val="21"/>
          <w:szCs w:val="21"/>
          <w:shd w:val="clear" w:color="auto" w:fill="FFFFFF"/>
        </w:rPr>
        <w:t>http://www.hmjtztb.com/banshi/index.jhtml</w:t>
      </w:r>
    </w:p>
    <w:p w14:paraId="7A6022A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b/>
          <w:bCs/>
          <w:color w:val="2B3642"/>
          <w:sz w:val="24"/>
          <w:szCs w:val="24"/>
          <w:shd w:val="clear" w:color="auto" w:fill="FFFFFF"/>
        </w:rPr>
        <w:t>如谈判单位数字证书已过期或遗失，请及时联系上述办理指南网址中的联系人进行更新办理或补办。</w:t>
      </w:r>
    </w:p>
    <w:p w14:paraId="0D75B610">
      <w:pPr>
        <w:pStyle w:val="5"/>
        <w:spacing w:line="500" w:lineRule="exact"/>
      </w:pPr>
      <w:r>
        <w:rPr>
          <w:rFonts w:hint="eastAsia" w:hAnsi="宋体"/>
          <w:b/>
          <w:sz w:val="24"/>
          <w:szCs w:val="24"/>
        </w:rPr>
        <w:t>参与询价的供应商应承担其询价所涉及的一切费用，不论询价结果如何，采购人在任何情况下无义务也无责任承担这些费用。</w:t>
      </w:r>
    </w:p>
    <w:p w14:paraId="1306B795">
      <w:pPr>
        <w:widowControl/>
        <w:spacing w:before="156" w:beforeLines="50" w:line="480" w:lineRule="exact"/>
        <w:jc w:val="left"/>
        <w:rPr>
          <w:rFonts w:ascii="宋体" w:hAnsi="宋体" w:cs="宋体"/>
          <w:color w:val="000000"/>
          <w:kern w:val="0"/>
          <w:sz w:val="24"/>
        </w:rPr>
      </w:pPr>
      <w:r>
        <w:rPr>
          <w:rFonts w:hint="eastAsia" w:ascii="宋体" w:hAnsi="宋体" w:cs="宋体"/>
          <w:b/>
          <w:color w:val="000000"/>
          <w:kern w:val="0"/>
          <w:sz w:val="24"/>
        </w:rPr>
        <w:t>四、询价报价截止时间及报价方式</w:t>
      </w:r>
    </w:p>
    <w:p w14:paraId="668513CF">
      <w:pPr>
        <w:widowControl/>
        <w:tabs>
          <w:tab w:val="left" w:pos="360"/>
          <w:tab w:val="left" w:pos="1155"/>
        </w:tabs>
        <w:spacing w:line="480" w:lineRule="exact"/>
        <w:ind w:left="105" w:leftChars="50" w:firstLine="480" w:firstLineChars="200"/>
        <w:jc w:val="left"/>
        <w:rPr>
          <w:rFonts w:ascii="华文宋体" w:hAnsi="华文宋体" w:eastAsia="华文宋体" w:cs="宋体"/>
          <w:b/>
          <w:color w:val="000000"/>
          <w:kern w:val="0"/>
          <w:sz w:val="24"/>
          <w:u w:val="thick"/>
        </w:rPr>
      </w:pPr>
      <w:r>
        <w:rPr>
          <w:rFonts w:ascii="华文宋体" w:hAnsi="华文宋体" w:eastAsia="华文宋体" w:cs="宋体"/>
          <w:b/>
          <w:color w:val="000000"/>
          <w:kern w:val="0"/>
          <w:sz w:val="24"/>
          <w:u w:val="thick"/>
        </w:rPr>
        <w:t>报价</w:t>
      </w:r>
      <w:r>
        <w:rPr>
          <w:rFonts w:hint="eastAsia" w:ascii="华文宋体" w:hAnsi="华文宋体" w:eastAsia="华文宋体" w:cs="宋体"/>
          <w:b/>
          <w:color w:val="000000"/>
          <w:kern w:val="0"/>
          <w:sz w:val="24"/>
          <w:u w:val="thick"/>
        </w:rPr>
        <w:t>截止</w:t>
      </w:r>
      <w:r>
        <w:rPr>
          <w:rFonts w:ascii="华文宋体" w:hAnsi="华文宋体" w:eastAsia="华文宋体" w:cs="宋体"/>
          <w:b/>
          <w:color w:val="000000"/>
          <w:kern w:val="0"/>
          <w:sz w:val="24"/>
          <w:u w:val="thick"/>
        </w:rPr>
        <w:t>时间：</w:t>
      </w:r>
      <w:r>
        <w:rPr>
          <w:rFonts w:hint="eastAsia" w:ascii="华文宋体" w:hAnsi="华文宋体" w:eastAsia="华文宋体" w:cs="宋体"/>
          <w:b/>
          <w:color w:val="000000"/>
          <w:kern w:val="0"/>
          <w:sz w:val="24"/>
          <w:u w:val="thick"/>
        </w:rPr>
        <w:t>20</w:t>
      </w:r>
      <w:r>
        <w:rPr>
          <w:rFonts w:ascii="华文宋体" w:hAnsi="华文宋体" w:eastAsia="华文宋体" w:cs="宋体"/>
          <w:b/>
          <w:color w:val="000000"/>
          <w:kern w:val="0"/>
          <w:sz w:val="24"/>
          <w:u w:val="thick"/>
        </w:rPr>
        <w:t>2</w:t>
      </w:r>
      <w:r>
        <w:rPr>
          <w:rFonts w:hint="eastAsia" w:ascii="华文宋体" w:hAnsi="华文宋体" w:eastAsia="华文宋体" w:cs="宋体"/>
          <w:b/>
          <w:color w:val="000000"/>
          <w:kern w:val="0"/>
          <w:sz w:val="24"/>
          <w:u w:val="thick"/>
          <w:lang w:val="en-US" w:eastAsia="zh-CN"/>
        </w:rPr>
        <w:t>5</w:t>
      </w:r>
      <w:r>
        <w:rPr>
          <w:rFonts w:hint="eastAsia" w:ascii="华文宋体" w:hAnsi="华文宋体" w:eastAsia="华文宋体" w:cs="宋体"/>
          <w:b/>
          <w:color w:val="000000"/>
          <w:kern w:val="0"/>
          <w:sz w:val="24"/>
          <w:u w:val="thick"/>
        </w:rPr>
        <w:t>年</w:t>
      </w:r>
      <w:r>
        <w:rPr>
          <w:rFonts w:hint="eastAsia" w:ascii="华文宋体" w:hAnsi="华文宋体" w:eastAsia="华文宋体" w:cs="宋体"/>
          <w:b/>
          <w:color w:val="000000"/>
          <w:kern w:val="0"/>
          <w:sz w:val="24"/>
          <w:u w:val="thick"/>
          <w:lang w:val="en-US" w:eastAsia="zh-CN"/>
        </w:rPr>
        <w:t>6</w:t>
      </w:r>
      <w:r>
        <w:rPr>
          <w:rFonts w:hint="eastAsia" w:ascii="华文宋体" w:hAnsi="华文宋体" w:eastAsia="华文宋体" w:cs="宋体"/>
          <w:b/>
          <w:color w:val="000000"/>
          <w:kern w:val="0"/>
          <w:sz w:val="24"/>
          <w:u w:val="thick"/>
        </w:rPr>
        <w:t>月</w:t>
      </w:r>
      <w:r>
        <w:rPr>
          <w:rFonts w:hint="eastAsia" w:ascii="华文宋体" w:hAnsi="华文宋体" w:eastAsia="华文宋体" w:cs="宋体"/>
          <w:b/>
          <w:color w:val="000000"/>
          <w:kern w:val="0"/>
          <w:sz w:val="24"/>
          <w:u w:val="thick"/>
          <w:lang w:val="en-US" w:eastAsia="zh-CN"/>
        </w:rPr>
        <w:t>4</w:t>
      </w:r>
      <w:r>
        <w:rPr>
          <w:rFonts w:hint="eastAsia" w:ascii="华文宋体" w:hAnsi="华文宋体" w:eastAsia="华文宋体" w:cs="宋体"/>
          <w:b/>
          <w:color w:val="000000"/>
          <w:kern w:val="0"/>
          <w:sz w:val="24"/>
          <w:u w:val="thick"/>
        </w:rPr>
        <w:t>日</w:t>
      </w:r>
      <w:r>
        <w:rPr>
          <w:rFonts w:hint="eastAsia" w:ascii="华文宋体" w:hAnsi="华文宋体" w:eastAsia="华文宋体" w:cs="宋体"/>
          <w:b/>
          <w:color w:val="000000"/>
          <w:kern w:val="0"/>
          <w:sz w:val="24"/>
          <w:u w:val="thick"/>
          <w:lang w:val="en-US" w:eastAsia="zh-CN"/>
        </w:rPr>
        <w:t>上</w:t>
      </w:r>
      <w:r>
        <w:rPr>
          <w:rFonts w:hint="eastAsia" w:ascii="华文宋体" w:hAnsi="华文宋体" w:eastAsia="华文宋体" w:cs="宋体"/>
          <w:b/>
          <w:color w:val="000000"/>
          <w:kern w:val="0"/>
          <w:sz w:val="24"/>
          <w:u w:val="thick"/>
        </w:rPr>
        <w:t>午1</w:t>
      </w:r>
      <w:r>
        <w:rPr>
          <w:rFonts w:hint="eastAsia" w:ascii="华文宋体" w:hAnsi="华文宋体" w:eastAsia="华文宋体" w:cs="宋体"/>
          <w:b/>
          <w:color w:val="000000"/>
          <w:kern w:val="0"/>
          <w:sz w:val="24"/>
          <w:u w:val="thick"/>
          <w:lang w:val="en-US" w:eastAsia="zh-CN"/>
        </w:rPr>
        <w:t>0</w:t>
      </w:r>
      <w:r>
        <w:rPr>
          <w:rFonts w:hint="eastAsia" w:ascii="华文宋体" w:hAnsi="华文宋体" w:eastAsia="华文宋体" w:cs="宋体"/>
          <w:b/>
          <w:color w:val="000000"/>
          <w:kern w:val="0"/>
          <w:sz w:val="24"/>
          <w:u w:val="thick"/>
        </w:rPr>
        <w:t>:00时</w:t>
      </w:r>
      <w:r>
        <w:rPr>
          <w:rFonts w:ascii="华文宋体" w:hAnsi="华文宋体" w:eastAsia="华文宋体" w:cs="宋体"/>
          <w:b/>
          <w:color w:val="000000"/>
          <w:kern w:val="0"/>
          <w:sz w:val="24"/>
          <w:u w:val="thick"/>
        </w:rPr>
        <w:t>。</w:t>
      </w:r>
    </w:p>
    <w:p w14:paraId="5717CD3E">
      <w:pPr>
        <w:widowControl/>
        <w:tabs>
          <w:tab w:val="left" w:pos="360"/>
          <w:tab w:val="left" w:pos="1155"/>
        </w:tabs>
        <w:spacing w:line="480" w:lineRule="exact"/>
        <w:ind w:left="105" w:leftChars="50" w:firstLine="480" w:firstLineChars="200"/>
        <w:jc w:val="left"/>
        <w:rPr>
          <w:rFonts w:ascii="华文宋体" w:hAnsi="华文宋体" w:eastAsia="华文宋体" w:cs="宋体"/>
          <w:b/>
          <w:color w:val="000000"/>
          <w:kern w:val="0"/>
          <w:sz w:val="24"/>
          <w:u w:val="thick"/>
        </w:rPr>
      </w:pPr>
      <w:r>
        <w:rPr>
          <w:rFonts w:hint="eastAsia" w:ascii="华文宋体" w:hAnsi="华文宋体" w:eastAsia="华文宋体" w:cs="宋体"/>
          <w:b/>
          <w:color w:val="000000"/>
          <w:kern w:val="0"/>
          <w:sz w:val="24"/>
          <w:u w:val="thick"/>
        </w:rPr>
        <w:t>本询价项目开标不需要报价单位到场，报价单位须在报价截止时间前CA登录平台（www.hmjtztb.com），点击“我的桌面”→ “我要报名”选择询价项目报名，报名完成后点击“我的桌面”→“询价报价”→选择询价项目→“网上报价”进行项目报价，本次询价报价单位在平台进行唯一一次报价，询价项目报价步骤详见http://www.hmjtztb.com/down/12793.jhtml（询价报价步骤）。</w:t>
      </w:r>
    </w:p>
    <w:p w14:paraId="17A218FA">
      <w:pPr>
        <w:widowControl/>
        <w:tabs>
          <w:tab w:val="left" w:pos="360"/>
          <w:tab w:val="left" w:pos="1155"/>
        </w:tabs>
        <w:spacing w:line="480" w:lineRule="exact"/>
        <w:ind w:left="105" w:leftChars="50" w:firstLine="480" w:firstLineChars="200"/>
        <w:jc w:val="left"/>
        <w:rPr>
          <w:rFonts w:ascii="华文宋体" w:hAnsi="华文宋体" w:eastAsia="华文宋体" w:cs="宋体"/>
          <w:b/>
          <w:color w:val="000000"/>
          <w:kern w:val="0"/>
          <w:szCs w:val="21"/>
        </w:rPr>
      </w:pPr>
      <w:r>
        <w:rPr>
          <w:rFonts w:hint="eastAsia" w:ascii="华文宋体" w:hAnsi="华文宋体" w:eastAsia="华文宋体" w:cs="宋体"/>
          <w:b/>
          <w:color w:val="000000"/>
          <w:kern w:val="0"/>
          <w:sz w:val="24"/>
          <w:u w:val="thick"/>
        </w:rPr>
        <w:t>在规定时间内报名单位</w:t>
      </w:r>
      <w:r>
        <w:rPr>
          <w:rFonts w:ascii="华文宋体" w:hAnsi="华文宋体" w:eastAsia="华文宋体" w:cs="宋体"/>
          <w:b/>
          <w:color w:val="000000"/>
          <w:kern w:val="0"/>
          <w:sz w:val="24"/>
          <w:u w:val="thick"/>
        </w:rPr>
        <w:t>及</w:t>
      </w:r>
      <w:r>
        <w:rPr>
          <w:rFonts w:hint="eastAsia" w:ascii="华文宋体" w:hAnsi="华文宋体" w:eastAsia="华文宋体" w:cs="宋体"/>
          <w:b/>
          <w:color w:val="000000"/>
          <w:kern w:val="0"/>
          <w:sz w:val="24"/>
          <w:u w:val="thick"/>
        </w:rPr>
        <w:t>报价单位少于三家时询价失败，采购人重新发布询价公告；重新发布询价公告后，在规定时间内报名</w:t>
      </w:r>
      <w:r>
        <w:rPr>
          <w:rFonts w:ascii="华文宋体" w:hAnsi="华文宋体" w:eastAsia="华文宋体" w:cs="宋体"/>
          <w:b/>
          <w:color w:val="000000"/>
          <w:kern w:val="0"/>
          <w:sz w:val="24"/>
          <w:u w:val="thick"/>
        </w:rPr>
        <w:t>及</w:t>
      </w:r>
      <w:r>
        <w:rPr>
          <w:rFonts w:hint="eastAsia" w:ascii="华文宋体" w:hAnsi="华文宋体" w:eastAsia="华文宋体" w:cs="宋体"/>
          <w:b/>
          <w:color w:val="000000"/>
          <w:kern w:val="0"/>
          <w:sz w:val="24"/>
          <w:u w:val="thick"/>
        </w:rPr>
        <w:t>报价的单位仍少于三家，按公开</w:t>
      </w:r>
      <w:r>
        <w:rPr>
          <w:rFonts w:ascii="华文宋体" w:hAnsi="华文宋体" w:eastAsia="华文宋体" w:cs="宋体"/>
          <w:b/>
          <w:color w:val="000000"/>
          <w:kern w:val="0"/>
          <w:sz w:val="24"/>
          <w:u w:val="thick"/>
        </w:rPr>
        <w:t>询价招标</w:t>
      </w:r>
      <w:r>
        <w:rPr>
          <w:rFonts w:hint="eastAsia" w:ascii="华文宋体" w:hAnsi="华文宋体" w:eastAsia="华文宋体" w:cs="宋体"/>
          <w:b/>
          <w:color w:val="000000"/>
          <w:kern w:val="0"/>
          <w:sz w:val="24"/>
          <w:u w:val="thick"/>
        </w:rPr>
        <w:t>公告</w:t>
      </w:r>
      <w:r>
        <w:rPr>
          <w:rFonts w:ascii="华文宋体" w:hAnsi="华文宋体" w:eastAsia="华文宋体" w:cs="宋体"/>
          <w:b/>
          <w:color w:val="000000"/>
          <w:kern w:val="0"/>
          <w:sz w:val="24"/>
          <w:u w:val="thick"/>
        </w:rPr>
        <w:t>约定的询价程序</w:t>
      </w:r>
      <w:r>
        <w:rPr>
          <w:rFonts w:hint="eastAsia" w:ascii="华文宋体" w:hAnsi="华文宋体" w:eastAsia="华文宋体" w:cs="宋体"/>
          <w:b/>
          <w:color w:val="000000"/>
          <w:kern w:val="0"/>
          <w:sz w:val="24"/>
          <w:u w:val="thick"/>
        </w:rPr>
        <w:t>继续进行询价采购评审活动。</w:t>
      </w:r>
    </w:p>
    <w:p w14:paraId="77C7494E">
      <w:pPr>
        <w:widowControl/>
        <w:spacing w:before="156" w:beforeLines="50" w:line="480" w:lineRule="exact"/>
        <w:jc w:val="left"/>
        <w:rPr>
          <w:rFonts w:ascii="宋体" w:hAnsi="宋体" w:cs="宋体"/>
          <w:color w:val="000000"/>
          <w:kern w:val="0"/>
          <w:sz w:val="24"/>
        </w:rPr>
      </w:pPr>
      <w:r>
        <w:rPr>
          <w:rFonts w:hint="eastAsia" w:ascii="宋体" w:hAnsi="宋体" w:cs="宋体"/>
          <w:b/>
          <w:color w:val="000000"/>
          <w:kern w:val="0"/>
          <w:sz w:val="24"/>
        </w:rPr>
        <w:t>五、评审原则</w:t>
      </w:r>
    </w:p>
    <w:p w14:paraId="1B6BA019">
      <w:pPr>
        <w:widowControl/>
        <w:spacing w:line="480" w:lineRule="exact"/>
        <w:ind w:firstLine="480" w:firstLineChars="200"/>
        <w:jc w:val="left"/>
        <w:rPr>
          <w:rFonts w:ascii="宋体" w:hAnsi="宋体" w:cs="宋体"/>
          <w:color w:val="000000"/>
          <w:kern w:val="0"/>
          <w:sz w:val="24"/>
        </w:rPr>
      </w:pPr>
      <w:r>
        <w:rPr>
          <w:rFonts w:hint="eastAsia" w:ascii="华文宋体" w:hAnsi="华文宋体" w:eastAsia="华文宋体" w:cs="宋体"/>
          <w:b/>
          <w:color w:val="000000"/>
          <w:kern w:val="0"/>
          <w:sz w:val="24"/>
          <w:u w:val="thick"/>
        </w:rPr>
        <w:t>20</w:t>
      </w:r>
      <w:r>
        <w:rPr>
          <w:rFonts w:ascii="华文宋体" w:hAnsi="华文宋体" w:eastAsia="华文宋体" w:cs="宋体"/>
          <w:b/>
          <w:color w:val="000000"/>
          <w:kern w:val="0"/>
          <w:sz w:val="24"/>
          <w:u w:val="thick"/>
        </w:rPr>
        <w:t>2</w:t>
      </w:r>
      <w:r>
        <w:rPr>
          <w:rFonts w:hint="eastAsia" w:ascii="华文宋体" w:hAnsi="华文宋体" w:eastAsia="华文宋体" w:cs="宋体"/>
          <w:b/>
          <w:color w:val="000000"/>
          <w:kern w:val="0"/>
          <w:sz w:val="24"/>
          <w:u w:val="thick"/>
          <w:lang w:val="en-US" w:eastAsia="zh-CN"/>
        </w:rPr>
        <w:t>5</w:t>
      </w:r>
      <w:r>
        <w:rPr>
          <w:rFonts w:hint="eastAsia" w:ascii="华文宋体" w:hAnsi="华文宋体" w:eastAsia="华文宋体" w:cs="宋体"/>
          <w:b/>
          <w:color w:val="000000"/>
          <w:kern w:val="0"/>
          <w:sz w:val="24"/>
          <w:u w:val="thick"/>
        </w:rPr>
        <w:t>年</w:t>
      </w:r>
      <w:r>
        <w:rPr>
          <w:rFonts w:hint="eastAsia" w:ascii="华文宋体" w:hAnsi="华文宋体" w:eastAsia="华文宋体" w:cs="宋体"/>
          <w:b/>
          <w:color w:val="000000"/>
          <w:kern w:val="0"/>
          <w:sz w:val="24"/>
          <w:u w:val="thick"/>
          <w:lang w:val="en-US" w:eastAsia="zh-CN"/>
        </w:rPr>
        <w:t>6</w:t>
      </w:r>
      <w:r>
        <w:rPr>
          <w:rFonts w:hint="eastAsia" w:ascii="华文宋体" w:hAnsi="华文宋体" w:eastAsia="华文宋体" w:cs="宋体"/>
          <w:b/>
          <w:color w:val="000000"/>
          <w:kern w:val="0"/>
          <w:sz w:val="24"/>
          <w:u w:val="thick"/>
        </w:rPr>
        <w:t>月</w:t>
      </w:r>
      <w:r>
        <w:rPr>
          <w:rFonts w:hint="eastAsia" w:ascii="华文宋体" w:hAnsi="华文宋体" w:eastAsia="华文宋体" w:cs="宋体"/>
          <w:b/>
          <w:color w:val="000000"/>
          <w:kern w:val="0"/>
          <w:sz w:val="24"/>
          <w:u w:val="thick"/>
          <w:lang w:val="en-US" w:eastAsia="zh-CN"/>
        </w:rPr>
        <w:t>4</w:t>
      </w:r>
      <w:r>
        <w:rPr>
          <w:rFonts w:hint="eastAsia" w:ascii="华文宋体" w:hAnsi="华文宋体" w:eastAsia="华文宋体" w:cs="宋体"/>
          <w:b/>
          <w:color w:val="000000"/>
          <w:kern w:val="0"/>
          <w:sz w:val="24"/>
          <w:u w:val="thick"/>
        </w:rPr>
        <w:t>日</w:t>
      </w:r>
      <w:r>
        <w:rPr>
          <w:rFonts w:hint="eastAsia" w:ascii="华文宋体" w:hAnsi="华文宋体" w:eastAsia="华文宋体" w:cs="宋体"/>
          <w:b/>
          <w:color w:val="000000"/>
          <w:kern w:val="0"/>
          <w:sz w:val="24"/>
          <w:u w:val="thick"/>
          <w:lang w:val="en-US" w:eastAsia="zh-CN"/>
        </w:rPr>
        <w:t>上</w:t>
      </w:r>
      <w:r>
        <w:rPr>
          <w:rFonts w:hint="eastAsia" w:ascii="华文宋体" w:hAnsi="华文宋体" w:eastAsia="华文宋体" w:cs="宋体"/>
          <w:b/>
          <w:color w:val="000000"/>
          <w:kern w:val="0"/>
          <w:sz w:val="24"/>
          <w:u w:val="thick"/>
        </w:rPr>
        <w:t>午1</w:t>
      </w:r>
      <w:r>
        <w:rPr>
          <w:rFonts w:hint="eastAsia" w:ascii="华文宋体" w:hAnsi="华文宋体" w:eastAsia="华文宋体" w:cs="宋体"/>
          <w:b/>
          <w:color w:val="000000"/>
          <w:kern w:val="0"/>
          <w:sz w:val="24"/>
          <w:u w:val="thick"/>
          <w:lang w:val="en-US" w:eastAsia="zh-CN"/>
        </w:rPr>
        <w:t>0</w:t>
      </w:r>
      <w:r>
        <w:rPr>
          <w:rFonts w:hint="eastAsia" w:ascii="华文宋体" w:hAnsi="华文宋体" w:eastAsia="华文宋体" w:cs="宋体"/>
          <w:b/>
          <w:color w:val="000000"/>
          <w:kern w:val="0"/>
          <w:sz w:val="24"/>
          <w:u w:val="thick"/>
        </w:rPr>
        <w:t>:00时</w:t>
      </w:r>
      <w:r>
        <w:rPr>
          <w:rFonts w:hint="eastAsia" w:ascii="宋体" w:hAnsi="宋体" w:cs="宋体"/>
          <w:color w:val="000000"/>
          <w:kern w:val="0"/>
          <w:sz w:val="24"/>
        </w:rPr>
        <w:t>在</w:t>
      </w:r>
      <w:r>
        <w:rPr>
          <w:rFonts w:hint="eastAsia" w:ascii="宋体" w:hAnsi="宋体" w:cs="宋体"/>
          <w:color w:val="000000"/>
          <w:kern w:val="0"/>
          <w:sz w:val="24"/>
          <w:lang w:val="en-US" w:eastAsia="zh-CN"/>
        </w:rPr>
        <w:t>景德镇市黑猫环保科技有限责任公司三楼会议室</w:t>
      </w:r>
      <w:r>
        <w:rPr>
          <w:rFonts w:hint="eastAsia" w:ascii="宋体" w:hAnsi="宋体" w:cs="宋体"/>
          <w:color w:val="000000"/>
          <w:kern w:val="0"/>
          <w:sz w:val="24"/>
        </w:rPr>
        <w:t>开启各</w:t>
      </w:r>
      <w:r>
        <w:rPr>
          <w:rFonts w:ascii="宋体" w:hAnsi="宋体" w:cs="宋体"/>
          <w:color w:val="000000"/>
          <w:kern w:val="0"/>
          <w:sz w:val="24"/>
        </w:rPr>
        <w:t>报价单位的竞标</w:t>
      </w:r>
      <w:r>
        <w:rPr>
          <w:rFonts w:hint="eastAsia" w:ascii="宋体" w:hAnsi="宋体" w:cs="宋体"/>
          <w:color w:val="000000"/>
          <w:kern w:val="0"/>
          <w:sz w:val="24"/>
        </w:rPr>
        <w:t>报价，</w:t>
      </w:r>
      <w:r>
        <w:rPr>
          <w:rFonts w:ascii="宋体" w:hAnsi="宋体" w:cs="宋体"/>
          <w:color w:val="000000"/>
          <w:kern w:val="0"/>
          <w:sz w:val="24"/>
        </w:rPr>
        <w:t>根据符合</w:t>
      </w:r>
      <w:r>
        <w:rPr>
          <w:rFonts w:hint="eastAsia" w:ascii="宋体" w:hAnsi="宋体" w:cs="宋体"/>
          <w:color w:val="000000"/>
          <w:kern w:val="0"/>
          <w:sz w:val="24"/>
        </w:rPr>
        <w:t>采购</w:t>
      </w:r>
      <w:r>
        <w:rPr>
          <w:rFonts w:ascii="宋体" w:hAnsi="宋体" w:cs="宋体"/>
          <w:color w:val="000000"/>
          <w:kern w:val="0"/>
          <w:sz w:val="24"/>
        </w:rPr>
        <w:t>需求且</w:t>
      </w:r>
      <w:r>
        <w:rPr>
          <w:rFonts w:ascii="宋体" w:hAnsi="宋体" w:cs="宋体"/>
          <w:b/>
          <w:color w:val="000000"/>
          <w:kern w:val="0"/>
          <w:sz w:val="24"/>
          <w:u w:val="thick"/>
        </w:rPr>
        <w:t>报价</w:t>
      </w:r>
      <w:r>
        <w:rPr>
          <w:rFonts w:hint="eastAsia" w:ascii="宋体" w:hAnsi="宋体" w:cs="宋体"/>
          <w:b/>
          <w:color w:val="000000"/>
          <w:kern w:val="0"/>
          <w:sz w:val="24"/>
          <w:u w:val="thick"/>
        </w:rPr>
        <w:t>合理</w:t>
      </w:r>
      <w:r>
        <w:rPr>
          <w:rFonts w:ascii="宋体" w:hAnsi="宋体" w:cs="宋体"/>
          <w:b/>
          <w:color w:val="000000"/>
          <w:kern w:val="0"/>
          <w:sz w:val="24"/>
          <w:u w:val="thick"/>
        </w:rPr>
        <w:t>最</w:t>
      </w:r>
      <w:r>
        <w:rPr>
          <w:rFonts w:hint="eastAsia" w:ascii="宋体" w:hAnsi="宋体" w:cs="宋体"/>
          <w:b/>
          <w:color w:val="000000"/>
          <w:kern w:val="0"/>
          <w:sz w:val="24"/>
          <w:u w:val="thick"/>
        </w:rPr>
        <w:t>低</w:t>
      </w:r>
      <w:r>
        <w:rPr>
          <w:rFonts w:ascii="宋体" w:hAnsi="宋体" w:cs="宋体"/>
          <w:color w:val="000000"/>
          <w:kern w:val="0"/>
          <w:sz w:val="24"/>
        </w:rPr>
        <w:t>的原则确定成交</w:t>
      </w:r>
      <w:r>
        <w:rPr>
          <w:rFonts w:hint="eastAsia" w:ascii="宋体" w:hAnsi="宋体" w:cs="宋体"/>
          <w:color w:val="000000"/>
          <w:kern w:val="0"/>
          <w:sz w:val="24"/>
        </w:rPr>
        <w:t>单位。</w:t>
      </w:r>
    </w:p>
    <w:p w14:paraId="678C4983">
      <w:pPr>
        <w:widowControl/>
        <w:spacing w:line="480" w:lineRule="exact"/>
        <w:ind w:firstLine="482" w:firstLineChars="200"/>
        <w:jc w:val="left"/>
        <w:rPr>
          <w:rFonts w:ascii="宋体" w:hAnsi="宋体" w:cs="宋体"/>
          <w:b/>
          <w:color w:val="000000"/>
          <w:kern w:val="0"/>
          <w:sz w:val="24"/>
          <w:u w:val="single"/>
        </w:rPr>
      </w:pPr>
      <w:r>
        <w:rPr>
          <w:rFonts w:hint="eastAsia" w:ascii="宋体" w:hAnsi="宋体" w:cs="宋体"/>
          <w:b/>
          <w:bCs w:val="0"/>
          <w:color w:val="000000"/>
          <w:kern w:val="0"/>
          <w:sz w:val="24"/>
          <w:u w:val="single"/>
        </w:rPr>
        <w:t>报价单位须保持评审过程中（即</w:t>
      </w:r>
      <w:r>
        <w:rPr>
          <w:rFonts w:hint="eastAsia" w:ascii="华文宋体" w:hAnsi="华文宋体" w:eastAsia="华文宋体" w:cs="宋体"/>
          <w:b/>
          <w:bCs w:val="0"/>
          <w:color w:val="000000"/>
          <w:kern w:val="0"/>
          <w:sz w:val="24"/>
          <w:u w:val="single"/>
        </w:rPr>
        <w:t>20</w:t>
      </w:r>
      <w:r>
        <w:rPr>
          <w:rFonts w:ascii="华文宋体" w:hAnsi="华文宋体" w:eastAsia="华文宋体" w:cs="宋体"/>
          <w:b/>
          <w:bCs w:val="0"/>
          <w:color w:val="000000"/>
          <w:kern w:val="0"/>
          <w:sz w:val="24"/>
          <w:u w:val="single"/>
        </w:rPr>
        <w:t>2</w:t>
      </w:r>
      <w:r>
        <w:rPr>
          <w:rFonts w:hint="eastAsia" w:ascii="华文宋体" w:hAnsi="华文宋体" w:eastAsia="华文宋体" w:cs="宋体"/>
          <w:b/>
          <w:bCs w:val="0"/>
          <w:color w:val="000000"/>
          <w:kern w:val="0"/>
          <w:sz w:val="24"/>
          <w:u w:val="single"/>
          <w:lang w:val="en-US" w:eastAsia="zh-CN"/>
        </w:rPr>
        <w:t>5</w:t>
      </w:r>
      <w:r>
        <w:rPr>
          <w:rFonts w:hint="eastAsia" w:ascii="华文宋体" w:hAnsi="华文宋体" w:eastAsia="华文宋体" w:cs="宋体"/>
          <w:b/>
          <w:bCs w:val="0"/>
          <w:color w:val="000000"/>
          <w:kern w:val="0"/>
          <w:sz w:val="24"/>
          <w:u w:val="single"/>
        </w:rPr>
        <w:t>年</w:t>
      </w:r>
      <w:r>
        <w:rPr>
          <w:rFonts w:hint="eastAsia" w:ascii="华文宋体" w:hAnsi="华文宋体" w:eastAsia="华文宋体" w:cs="宋体"/>
          <w:b/>
          <w:bCs w:val="0"/>
          <w:color w:val="000000"/>
          <w:kern w:val="0"/>
          <w:sz w:val="24"/>
          <w:u w:val="single"/>
          <w:lang w:val="en-US" w:eastAsia="zh-CN"/>
        </w:rPr>
        <w:t>6</w:t>
      </w:r>
      <w:r>
        <w:rPr>
          <w:rFonts w:hint="eastAsia" w:ascii="华文宋体" w:hAnsi="华文宋体" w:eastAsia="华文宋体" w:cs="宋体"/>
          <w:b/>
          <w:bCs w:val="0"/>
          <w:color w:val="000000"/>
          <w:kern w:val="0"/>
          <w:sz w:val="24"/>
          <w:u w:val="single"/>
        </w:rPr>
        <w:t>月</w:t>
      </w:r>
      <w:r>
        <w:rPr>
          <w:rFonts w:hint="eastAsia" w:ascii="华文宋体" w:hAnsi="华文宋体" w:eastAsia="华文宋体" w:cs="宋体"/>
          <w:b/>
          <w:bCs w:val="0"/>
          <w:color w:val="000000"/>
          <w:kern w:val="0"/>
          <w:sz w:val="24"/>
          <w:u w:val="single"/>
          <w:lang w:val="en-US" w:eastAsia="zh-CN"/>
        </w:rPr>
        <w:t>4</w:t>
      </w:r>
      <w:bookmarkStart w:id="2" w:name="_GoBack"/>
      <w:bookmarkEnd w:id="2"/>
      <w:r>
        <w:rPr>
          <w:rFonts w:hint="eastAsia" w:ascii="华文宋体" w:hAnsi="华文宋体" w:eastAsia="华文宋体" w:cs="宋体"/>
          <w:b/>
          <w:bCs w:val="0"/>
          <w:color w:val="000000"/>
          <w:kern w:val="0"/>
          <w:sz w:val="24"/>
          <w:u w:val="single"/>
        </w:rPr>
        <w:t>日</w:t>
      </w:r>
      <w:r>
        <w:rPr>
          <w:rFonts w:hint="eastAsia" w:ascii="华文宋体" w:hAnsi="华文宋体" w:eastAsia="华文宋体" w:cs="宋体"/>
          <w:b/>
          <w:bCs w:val="0"/>
          <w:color w:val="000000"/>
          <w:kern w:val="0"/>
          <w:sz w:val="24"/>
          <w:u w:val="single"/>
          <w:lang w:val="en-US" w:eastAsia="zh-CN"/>
        </w:rPr>
        <w:t>上</w:t>
      </w:r>
      <w:r>
        <w:rPr>
          <w:rFonts w:hint="eastAsia" w:ascii="华文宋体" w:hAnsi="华文宋体" w:eastAsia="华文宋体" w:cs="宋体"/>
          <w:b/>
          <w:bCs w:val="0"/>
          <w:color w:val="000000"/>
          <w:kern w:val="0"/>
          <w:sz w:val="24"/>
          <w:u w:val="single"/>
        </w:rPr>
        <w:t>午</w:t>
      </w:r>
      <w:r>
        <w:rPr>
          <w:rFonts w:hint="eastAsia" w:ascii="华文宋体" w:hAnsi="华文宋体" w:eastAsia="华文宋体" w:cs="宋体"/>
          <w:b/>
          <w:bCs w:val="0"/>
          <w:color w:val="000000"/>
          <w:kern w:val="0"/>
          <w:sz w:val="24"/>
          <w:u w:val="single"/>
          <w:lang w:val="en-US" w:eastAsia="zh-CN"/>
        </w:rPr>
        <w:t>10</w:t>
      </w:r>
      <w:r>
        <w:rPr>
          <w:rFonts w:hint="eastAsia" w:ascii="华文宋体" w:hAnsi="华文宋体" w:eastAsia="华文宋体" w:cs="宋体"/>
          <w:b/>
          <w:bCs w:val="0"/>
          <w:color w:val="000000"/>
          <w:kern w:val="0"/>
          <w:sz w:val="24"/>
          <w:u w:val="single"/>
        </w:rPr>
        <w:t>:00</w:t>
      </w:r>
      <w:r>
        <w:rPr>
          <w:rFonts w:hint="eastAsia" w:ascii="宋体" w:hAnsi="宋体" w:cs="宋体"/>
          <w:b/>
          <w:bCs w:val="0"/>
          <w:color w:val="000000"/>
          <w:kern w:val="0"/>
          <w:sz w:val="24"/>
          <w:u w:val="single"/>
        </w:rPr>
        <w:t>-</w:t>
      </w:r>
      <w:r>
        <w:rPr>
          <w:rFonts w:hint="eastAsia" w:ascii="宋体" w:hAnsi="宋体" w:cs="宋体"/>
          <w:b/>
          <w:bCs w:val="0"/>
          <w:color w:val="000000"/>
          <w:kern w:val="0"/>
          <w:sz w:val="24"/>
          <w:u w:val="single"/>
          <w:lang w:val="en-US" w:eastAsia="zh-CN"/>
        </w:rPr>
        <w:t>11</w:t>
      </w:r>
      <w:r>
        <w:rPr>
          <w:rFonts w:hint="eastAsia" w:ascii="宋体" w:hAnsi="宋体" w:cs="宋体"/>
          <w:b/>
          <w:bCs w:val="0"/>
          <w:color w:val="000000"/>
          <w:kern w:val="0"/>
          <w:sz w:val="24"/>
          <w:u w:val="single"/>
        </w:rPr>
        <w:t>:</w:t>
      </w:r>
      <w:r>
        <w:rPr>
          <w:rFonts w:ascii="宋体" w:hAnsi="宋体" w:cs="宋体"/>
          <w:b/>
          <w:bCs w:val="0"/>
          <w:color w:val="000000"/>
          <w:kern w:val="0"/>
          <w:sz w:val="24"/>
          <w:u w:val="single"/>
        </w:rPr>
        <w:t>0</w:t>
      </w:r>
      <w:r>
        <w:rPr>
          <w:rFonts w:hint="eastAsia" w:ascii="宋体" w:hAnsi="宋体" w:cs="宋体"/>
          <w:b/>
          <w:bCs w:val="0"/>
          <w:color w:val="000000"/>
          <w:kern w:val="0"/>
          <w:sz w:val="24"/>
          <w:u w:val="single"/>
        </w:rPr>
        <w:t>0时</w:t>
      </w:r>
      <w:r>
        <w:rPr>
          <w:rFonts w:hint="eastAsia" w:ascii="宋体" w:hAnsi="宋体" w:cs="宋体"/>
          <w:b/>
          <w:color w:val="000000"/>
          <w:kern w:val="0"/>
          <w:sz w:val="24"/>
          <w:u w:val="single"/>
        </w:rPr>
        <w:t>）通讯畅通，可以随时接听电话以方便采购人询问报价相关事宜。</w:t>
      </w:r>
    </w:p>
    <w:p w14:paraId="392B8AD3">
      <w:pPr>
        <w:widowControl/>
        <w:spacing w:line="480" w:lineRule="exact"/>
        <w:ind w:firstLine="482" w:firstLineChars="200"/>
        <w:jc w:val="left"/>
        <w:rPr>
          <w:rFonts w:hint="eastAsia" w:ascii="宋体" w:hAnsi="宋体" w:cs="宋体"/>
          <w:b/>
          <w:color w:val="000000"/>
          <w:kern w:val="0"/>
          <w:sz w:val="24"/>
          <w:u w:val="single"/>
        </w:rPr>
      </w:pPr>
      <w:r>
        <w:rPr>
          <w:rFonts w:hint="eastAsia" w:ascii="宋体" w:hAnsi="宋体" w:cs="宋体"/>
          <w:b/>
          <w:color w:val="000000"/>
          <w:kern w:val="0"/>
          <w:sz w:val="24"/>
          <w:u w:val="single"/>
        </w:rPr>
        <w:t>询价结束后，采购人可组织相关人员对报价单位的企业实力和业绩进行考察，如发现报价单位无法满足采购项目需要，采购人可以取消该报价单位的竞标资格。</w:t>
      </w:r>
    </w:p>
    <w:p w14:paraId="2FAD24EB">
      <w:pPr>
        <w:tabs>
          <w:tab w:val="left" w:pos="0"/>
        </w:tabs>
        <w:snapToGrid w:val="0"/>
        <w:spacing w:line="540" w:lineRule="exact"/>
        <w:rPr>
          <w:rFonts w:hint="eastAsia" w:ascii="宋体" w:hAnsi="宋体" w:cs="宋体"/>
          <w:b/>
          <w:color w:val="000000"/>
          <w:kern w:val="0"/>
          <w:sz w:val="24"/>
        </w:rPr>
      </w:pPr>
      <w:r>
        <w:rPr>
          <w:rFonts w:hint="eastAsia" w:ascii="宋体" w:hAnsi="宋体" w:cs="宋体"/>
          <w:b/>
          <w:color w:val="000000"/>
          <w:kern w:val="0"/>
          <w:sz w:val="24"/>
        </w:rPr>
        <w:t>六</w:t>
      </w:r>
      <w:r>
        <w:rPr>
          <w:rFonts w:ascii="宋体" w:hAnsi="宋体" w:cs="宋体"/>
          <w:b/>
          <w:color w:val="000000"/>
          <w:kern w:val="0"/>
          <w:sz w:val="24"/>
        </w:rPr>
        <w:t>、联系</w:t>
      </w:r>
      <w:r>
        <w:rPr>
          <w:rFonts w:hint="eastAsia" w:ascii="宋体" w:hAnsi="宋体" w:cs="宋体"/>
          <w:b/>
          <w:color w:val="000000"/>
          <w:kern w:val="0"/>
          <w:sz w:val="24"/>
        </w:rPr>
        <w:t>方式</w:t>
      </w:r>
    </w:p>
    <w:p w14:paraId="630C0CB7">
      <w:pPr>
        <w:tabs>
          <w:tab w:val="left" w:pos="0"/>
        </w:tabs>
        <w:snapToGrid w:val="0"/>
        <w:spacing w:line="540" w:lineRule="exact"/>
        <w:ind w:firstLine="480" w:firstLineChars="200"/>
        <w:rPr>
          <w:rFonts w:hint="eastAsia" w:ascii="宋体" w:hAnsi="宋体" w:eastAsia="宋体" w:cs="宋体"/>
          <w:color w:val="000000"/>
          <w:kern w:val="0"/>
          <w:szCs w:val="21"/>
          <w:lang w:val="en-US" w:eastAsia="zh-CN"/>
        </w:rPr>
      </w:pPr>
      <w:r>
        <w:rPr>
          <w:rFonts w:hint="eastAsia" w:ascii="宋体" w:hAnsi="宋体"/>
          <w:sz w:val="24"/>
          <w:szCs w:val="22"/>
        </w:rPr>
        <w:t>采购人：</w:t>
      </w:r>
      <w:r>
        <w:rPr>
          <w:rFonts w:hint="eastAsia" w:ascii="宋体" w:hAnsi="宋体" w:eastAsia="宋体" w:cs="宋体"/>
          <w:color w:val="000000"/>
          <w:kern w:val="0"/>
          <w:szCs w:val="21"/>
          <w:lang w:val="en-US" w:eastAsia="zh-CN"/>
        </w:rPr>
        <w:t>景德镇市黑猫环保科技有限责任公司</w:t>
      </w:r>
    </w:p>
    <w:p w14:paraId="3EADBFD2">
      <w:pPr>
        <w:tabs>
          <w:tab w:val="left" w:pos="0"/>
        </w:tabs>
        <w:snapToGrid w:val="0"/>
        <w:spacing w:line="540" w:lineRule="exact"/>
        <w:ind w:firstLine="480" w:firstLineChars="200"/>
        <w:rPr>
          <w:rFonts w:hint="eastAsia" w:ascii="宋体" w:hAnsi="宋体"/>
          <w:sz w:val="24"/>
          <w:szCs w:val="22"/>
        </w:rPr>
      </w:pPr>
      <w:r>
        <w:rPr>
          <w:rFonts w:hint="eastAsia" w:ascii="宋体" w:hAnsi="宋体"/>
          <w:sz w:val="24"/>
          <w:szCs w:val="22"/>
        </w:rPr>
        <w:t>电话</w:t>
      </w:r>
      <w:r>
        <w:rPr>
          <w:rFonts w:hint="eastAsia" w:ascii="宋体" w:hAnsi="宋体"/>
          <w:sz w:val="24"/>
          <w:szCs w:val="22"/>
          <w:lang w:val="en-US" w:eastAsia="zh-CN"/>
        </w:rPr>
        <w:t xml:space="preserve"> </w:t>
      </w:r>
      <w:r>
        <w:rPr>
          <w:rFonts w:hint="eastAsia" w:ascii="宋体" w:hAnsi="宋体"/>
          <w:sz w:val="24"/>
          <w:szCs w:val="22"/>
        </w:rPr>
        <w:t>：</w:t>
      </w:r>
      <w:r>
        <w:rPr>
          <w:rFonts w:hint="eastAsia" w:ascii="宋体" w:hAnsi="宋体"/>
          <w:sz w:val="24"/>
          <w:szCs w:val="22"/>
          <w:lang w:val="en-US" w:eastAsia="zh-CN"/>
        </w:rPr>
        <w:t>18779800967</w:t>
      </w:r>
      <w:r>
        <w:rPr>
          <w:rFonts w:ascii="宋体" w:hAnsi="宋体"/>
          <w:sz w:val="24"/>
          <w:szCs w:val="22"/>
        </w:rPr>
        <w:t xml:space="preserve">     </w:t>
      </w:r>
      <w:r>
        <w:rPr>
          <w:rFonts w:hint="eastAsia" w:ascii="宋体" w:hAnsi="宋体"/>
          <w:sz w:val="24"/>
          <w:szCs w:val="22"/>
        </w:rPr>
        <w:t xml:space="preserve"> </w:t>
      </w:r>
      <w:r>
        <w:rPr>
          <w:rFonts w:ascii="宋体" w:hAnsi="宋体"/>
          <w:sz w:val="24"/>
          <w:szCs w:val="22"/>
        </w:rPr>
        <w:t xml:space="preserve">  </w:t>
      </w:r>
      <w:r>
        <w:rPr>
          <w:rFonts w:hint="eastAsia" w:ascii="宋体" w:hAnsi="宋体"/>
          <w:sz w:val="24"/>
          <w:szCs w:val="22"/>
          <w:lang w:val="en-US" w:eastAsia="zh-CN"/>
        </w:rPr>
        <w:t>黄</w:t>
      </w:r>
      <w:r>
        <w:rPr>
          <w:rFonts w:hint="eastAsia" w:ascii="宋体" w:hAnsi="宋体"/>
          <w:sz w:val="24"/>
          <w:szCs w:val="22"/>
        </w:rPr>
        <w:t>先生</w:t>
      </w:r>
    </w:p>
    <w:p w14:paraId="105A6947">
      <w:pPr>
        <w:tabs>
          <w:tab w:val="left" w:pos="0"/>
        </w:tabs>
        <w:snapToGrid w:val="0"/>
        <w:spacing w:line="540" w:lineRule="exact"/>
        <w:ind w:firstLine="480" w:firstLineChars="200"/>
        <w:rPr>
          <w:rFonts w:hint="eastAsia" w:ascii="宋体" w:hAnsi="宋体"/>
          <w:sz w:val="24"/>
          <w:szCs w:val="22"/>
          <w:lang w:val="en-US" w:eastAsia="zh-CN"/>
        </w:rPr>
      </w:pPr>
      <w:r>
        <w:rPr>
          <w:rFonts w:hint="eastAsia" w:ascii="宋体" w:hAnsi="宋体"/>
          <w:sz w:val="24"/>
          <w:szCs w:val="22"/>
          <w:lang w:val="en-US" w:eastAsia="zh-CN"/>
        </w:rPr>
        <w:t>监督人：景德镇市黑猫环保科技有限责任公司纪检</w:t>
      </w:r>
    </w:p>
    <w:p w14:paraId="02309F39">
      <w:pPr>
        <w:tabs>
          <w:tab w:val="left" w:pos="0"/>
        </w:tabs>
        <w:snapToGrid w:val="0"/>
        <w:spacing w:line="540" w:lineRule="exact"/>
        <w:ind w:firstLine="480" w:firstLineChars="200"/>
        <w:rPr>
          <w:rFonts w:hint="eastAsia" w:ascii="宋体" w:hAnsi="宋体"/>
          <w:sz w:val="24"/>
          <w:szCs w:val="22"/>
          <w:lang w:val="en-US" w:eastAsia="zh-CN"/>
        </w:rPr>
      </w:pPr>
      <w:r>
        <w:rPr>
          <w:rFonts w:hint="eastAsia" w:ascii="宋体" w:hAnsi="宋体"/>
          <w:sz w:val="24"/>
          <w:szCs w:val="22"/>
          <w:lang w:val="en-US" w:eastAsia="zh-CN"/>
        </w:rPr>
        <w:t>电话： 18579252222        高先生</w:t>
      </w:r>
    </w:p>
    <w:p w14:paraId="16A6376A">
      <w:pPr>
        <w:tabs>
          <w:tab w:val="left" w:pos="0"/>
        </w:tabs>
        <w:snapToGrid w:val="0"/>
        <w:spacing w:line="540" w:lineRule="exact"/>
        <w:ind w:firstLine="480" w:firstLineChars="200"/>
        <w:rPr>
          <w:rFonts w:hint="eastAsia" w:ascii="宋体" w:hAnsi="宋体"/>
          <w:sz w:val="24"/>
          <w:szCs w:val="22"/>
          <w:lang w:val="en-US" w:eastAsia="zh-CN"/>
        </w:rPr>
      </w:pPr>
    </w:p>
    <w:p w14:paraId="0D12FAF0">
      <w:pPr>
        <w:tabs>
          <w:tab w:val="left" w:pos="0"/>
        </w:tabs>
        <w:snapToGrid w:val="0"/>
        <w:spacing w:line="540" w:lineRule="exact"/>
        <w:ind w:firstLine="480" w:firstLineChars="200"/>
        <w:rPr>
          <w:rFonts w:hint="eastAsia" w:ascii="宋体" w:hAnsi="宋体"/>
          <w:sz w:val="24"/>
          <w:szCs w:val="22"/>
          <w:lang w:val="en-US" w:eastAsia="zh-CN"/>
        </w:rPr>
      </w:pPr>
    </w:p>
    <w:p w14:paraId="3B325A42">
      <w:pPr>
        <w:tabs>
          <w:tab w:val="left" w:pos="0"/>
        </w:tabs>
        <w:snapToGrid w:val="0"/>
        <w:spacing w:line="540" w:lineRule="exact"/>
        <w:ind w:firstLine="480" w:firstLineChars="200"/>
        <w:rPr>
          <w:rFonts w:hint="eastAsia" w:ascii="宋体" w:hAnsi="宋体"/>
          <w:sz w:val="24"/>
          <w:szCs w:val="22"/>
          <w:lang w:val="en-US" w:eastAsia="zh-CN"/>
        </w:rPr>
      </w:pPr>
    </w:p>
    <w:p w14:paraId="1B8A60FC">
      <w:pPr>
        <w:tabs>
          <w:tab w:val="left" w:pos="0"/>
        </w:tabs>
        <w:snapToGrid w:val="0"/>
        <w:spacing w:line="540" w:lineRule="exact"/>
        <w:ind w:firstLine="480" w:firstLineChars="200"/>
        <w:rPr>
          <w:rFonts w:hint="eastAsia" w:ascii="宋体" w:hAnsi="宋体"/>
          <w:sz w:val="24"/>
          <w:szCs w:val="22"/>
          <w:lang w:val="en-US" w:eastAsia="zh-CN"/>
        </w:rPr>
      </w:pPr>
    </w:p>
    <w:p w14:paraId="296022F5">
      <w:pPr>
        <w:jc w:val="center"/>
        <w:rPr>
          <w:rFonts w:ascii="宋体" w:hAnsi="宋体" w:eastAsia="宋体"/>
          <w:sz w:val="30"/>
          <w:szCs w:val="30"/>
        </w:rPr>
      </w:pPr>
      <w:r>
        <w:rPr>
          <w:rFonts w:hint="eastAsia" w:ascii="宋体" w:hAnsi="宋体" w:eastAsia="宋体"/>
          <w:sz w:val="30"/>
          <w:szCs w:val="30"/>
        </w:rPr>
        <w:t>门卫机动车道闸、广告门及生产区摆闸门采购</w:t>
      </w:r>
    </w:p>
    <w:p w14:paraId="4E9ADEAA">
      <w:pPr>
        <w:rPr>
          <w:rFonts w:ascii="宋体" w:hAnsi="宋体" w:eastAsia="宋体"/>
        </w:rPr>
      </w:pPr>
    </w:p>
    <w:p w14:paraId="6ED4ABEC">
      <w:pPr>
        <w:rPr>
          <w:rFonts w:ascii="宋体" w:hAnsi="宋体" w:eastAsia="宋体"/>
        </w:rPr>
      </w:pPr>
      <w:r>
        <w:rPr>
          <w:rFonts w:hint="eastAsia" w:ascii="宋体" w:hAnsi="宋体" w:eastAsia="宋体"/>
        </w:rPr>
        <w:t>一、总则</w:t>
      </w:r>
    </w:p>
    <w:p w14:paraId="2CEC9C90">
      <w:pPr>
        <w:widowControl/>
        <w:numPr>
          <w:ilvl w:val="0"/>
          <w:numId w:val="3"/>
        </w:numPr>
        <w:spacing w:line="360" w:lineRule="auto"/>
        <w:jc w:val="left"/>
        <w:rPr>
          <w:rFonts w:ascii="宋体" w:hAnsi="宋体" w:eastAsia="宋体" w:cs="Times New Roman"/>
          <w:kern w:val="0"/>
          <w:sz w:val="24"/>
          <w:szCs w:val="20"/>
        </w:rPr>
      </w:pPr>
      <w:bookmarkStart w:id="0" w:name="_Toc193194232"/>
      <w:r>
        <w:rPr>
          <w:rFonts w:hint="eastAsia" w:ascii="宋体" w:hAnsi="宋体" w:eastAsia="宋体" w:cs="Times New Roman"/>
          <w:kern w:val="0"/>
          <w:sz w:val="24"/>
          <w:szCs w:val="20"/>
        </w:rPr>
        <w:t>本招标文件所提出的是最低限度的技术要求，并未对一切技术细节作出规定，也未充分引述有关标准和规范条文，投标人应保证提供符合国家标准、相关国际标准和本规范要求的优质产品及其相应的服务。对国家有关安全、环保等强制性标准，均能满足其要求。</w:t>
      </w:r>
      <w:bookmarkEnd w:id="0"/>
    </w:p>
    <w:p w14:paraId="62604534">
      <w:pPr>
        <w:widowControl/>
        <w:numPr>
          <w:ilvl w:val="0"/>
          <w:numId w:val="3"/>
        </w:numPr>
        <w:spacing w:line="360" w:lineRule="auto"/>
        <w:jc w:val="left"/>
        <w:rPr>
          <w:rFonts w:ascii="宋体" w:hAnsi="宋体" w:eastAsia="宋体" w:cs="Times New Roman"/>
          <w:kern w:val="0"/>
          <w:sz w:val="24"/>
          <w:szCs w:val="20"/>
        </w:rPr>
      </w:pPr>
      <w:r>
        <w:rPr>
          <w:rFonts w:hint="eastAsia" w:ascii="宋体" w:hAnsi="宋体" w:eastAsia="宋体" w:cs="Times New Roman"/>
          <w:kern w:val="0"/>
          <w:sz w:val="24"/>
          <w:szCs w:val="20"/>
        </w:rPr>
        <w:t>投标人报价所选用的技术应先进可靠。且在工业化生产实践中证明是先进可靠的，能保证设备长周期、满负荷、稳定运行。</w:t>
      </w:r>
    </w:p>
    <w:p w14:paraId="0FFB63EC">
      <w:pPr>
        <w:widowControl/>
        <w:numPr>
          <w:ilvl w:val="0"/>
          <w:numId w:val="3"/>
        </w:numPr>
        <w:spacing w:line="360" w:lineRule="auto"/>
        <w:jc w:val="left"/>
        <w:rPr>
          <w:rFonts w:ascii="宋体" w:hAnsi="宋体" w:eastAsia="宋体" w:cs="Times New Roman"/>
          <w:kern w:val="0"/>
          <w:sz w:val="24"/>
          <w:szCs w:val="20"/>
        </w:rPr>
      </w:pPr>
      <w:bookmarkStart w:id="1" w:name="_Toc193194234"/>
      <w:r>
        <w:rPr>
          <w:rFonts w:hint="eastAsia" w:ascii="宋体" w:hAnsi="宋体" w:eastAsia="宋体" w:cs="Times New Roman"/>
          <w:kern w:val="0"/>
          <w:sz w:val="24"/>
          <w:szCs w:val="20"/>
        </w:rPr>
        <w:t>投标人不得侵犯第三方知识产权。一旦发生侵权行为，投标人承担全部法律责任和所有的经济赔偿责任，并承担由于投标人侵权无法继续执行本合约而对业主方造成的工期延误、设备换型、设备拆卸清理、设计修改、施工返工等经济赔偿责任等。</w:t>
      </w:r>
      <w:bookmarkEnd w:id="1"/>
    </w:p>
    <w:p w14:paraId="78A9750F">
      <w:pPr>
        <w:widowControl/>
        <w:spacing w:line="360" w:lineRule="auto"/>
        <w:ind w:firstLine="283" w:firstLineChars="118"/>
        <w:jc w:val="left"/>
        <w:rPr>
          <w:rFonts w:ascii="宋体" w:hAnsi="宋体" w:eastAsia="宋体" w:cs="Times New Roman"/>
          <w:kern w:val="0"/>
          <w:sz w:val="24"/>
          <w:szCs w:val="20"/>
        </w:rPr>
      </w:pPr>
      <w:r>
        <w:rPr>
          <w:rFonts w:hint="eastAsia" w:ascii="宋体" w:hAnsi="宋体" w:eastAsia="宋体" w:cs="Times New Roman"/>
          <w:kern w:val="0"/>
          <w:sz w:val="24"/>
          <w:szCs w:val="20"/>
        </w:rPr>
        <w:t>4.招标人如发现投标人所提供的设备和材料低于要求的标准时，有权要求投标人进行更换，费用由投标人自负。</w:t>
      </w:r>
    </w:p>
    <w:p w14:paraId="60C95568">
      <w:pPr>
        <w:spacing w:line="360" w:lineRule="auto"/>
        <w:ind w:firstLine="482" w:firstLineChars="200"/>
        <w:rPr>
          <w:rFonts w:ascii="宋体" w:hAnsi="宋体" w:eastAsia="宋体"/>
          <w:sz w:val="24"/>
        </w:rPr>
      </w:pPr>
      <w:r>
        <w:rPr>
          <w:rFonts w:hint="eastAsia" w:ascii="宋体" w:hAnsi="宋体" w:eastAsia="宋体" w:cs="宋体"/>
          <w:b/>
          <w:sz w:val="24"/>
          <w:szCs w:val="28"/>
        </w:rPr>
        <w:t>本采购为</w:t>
      </w:r>
      <w:r>
        <w:rPr>
          <w:rFonts w:hint="eastAsia" w:ascii="宋体" w:hAnsi="宋体" w:eastAsia="宋体"/>
          <w:b/>
          <w:bCs/>
          <w:sz w:val="24"/>
          <w:szCs w:val="24"/>
        </w:rPr>
        <w:t>道闸、广告门及摆闸门</w:t>
      </w:r>
      <w:r>
        <w:rPr>
          <w:rFonts w:hint="eastAsia" w:ascii="宋体" w:hAnsi="宋体" w:eastAsia="宋体" w:cs="宋体"/>
          <w:b/>
          <w:sz w:val="24"/>
          <w:szCs w:val="28"/>
        </w:rPr>
        <w:t>的采购、运输、安装、调试及售后的项目，投标报价即为项目的结算价，招标文件中的清单未提供的将从结算价中核减，为满足项目验收中标单位增加的设备或工作量，不予增加任何费用。</w:t>
      </w:r>
    </w:p>
    <w:p w14:paraId="6A16FAE6">
      <w:pPr>
        <w:spacing w:line="360" w:lineRule="auto"/>
        <w:rPr>
          <w:rFonts w:ascii="宋体" w:hAnsi="宋体" w:eastAsia="宋体"/>
        </w:rPr>
      </w:pPr>
      <w:r>
        <w:rPr>
          <w:rFonts w:hint="eastAsia" w:ascii="宋体" w:hAnsi="宋体" w:eastAsia="宋体"/>
        </w:rPr>
        <w:t>二、采购范围：</w:t>
      </w:r>
    </w:p>
    <w:p w14:paraId="698971EC">
      <w:pPr>
        <w:spacing w:line="360" w:lineRule="auto"/>
        <w:ind w:firstLine="210" w:firstLineChars="100"/>
        <w:rPr>
          <w:rFonts w:ascii="宋体" w:hAnsi="宋体" w:eastAsia="宋体"/>
        </w:rPr>
      </w:pPr>
      <w:r>
        <w:rPr>
          <w:rFonts w:hint="eastAsia" w:ascii="宋体" w:hAnsi="宋体" w:eastAsia="宋体"/>
          <w:szCs w:val="21"/>
        </w:rPr>
        <w:t>物流及人流入口的机动车道闸、广告门及生产区摆闸门</w:t>
      </w:r>
      <w:r>
        <w:rPr>
          <w:rFonts w:hint="eastAsia" w:ascii="宋体" w:hAnsi="宋体" w:eastAsia="宋体"/>
        </w:rPr>
        <w:t>的采购、运输、安装、调试及售后服务。</w:t>
      </w:r>
    </w:p>
    <w:p w14:paraId="392B9A62">
      <w:pPr>
        <w:spacing w:line="360" w:lineRule="auto"/>
        <w:rPr>
          <w:rFonts w:ascii="宋体" w:hAnsi="宋体" w:eastAsia="宋体"/>
        </w:rPr>
      </w:pPr>
      <w:r>
        <w:rPr>
          <w:rFonts w:hint="eastAsia" w:ascii="宋体" w:hAnsi="宋体" w:eastAsia="宋体"/>
        </w:rPr>
        <w:t>三、主要设计参数及技术需求：</w:t>
      </w:r>
    </w:p>
    <w:p w14:paraId="5EF5B37A">
      <w:pPr>
        <w:spacing w:line="360" w:lineRule="auto"/>
        <w:ind w:firstLine="210" w:firstLineChars="100"/>
        <w:rPr>
          <w:rFonts w:ascii="宋体" w:hAnsi="宋体" w:eastAsia="宋体"/>
        </w:rPr>
      </w:pPr>
      <w:r>
        <w:rPr>
          <w:rFonts w:hint="eastAsia" w:ascii="宋体" w:hAnsi="宋体" w:eastAsia="宋体"/>
        </w:rPr>
        <w:t>1、机动车道闸包含抬杆系统、车牌识别系统、管理软件。（包含所需的永久权限加密狗）。现场已预留安装电源线头，需要根据现场情况进行布置安装。</w:t>
      </w:r>
    </w:p>
    <w:p w14:paraId="65AF3EA9">
      <w:pPr>
        <w:spacing w:line="360" w:lineRule="auto"/>
        <w:ind w:firstLine="210" w:firstLineChars="100"/>
        <w:rPr>
          <w:rFonts w:ascii="宋体" w:hAnsi="宋体" w:eastAsia="宋体"/>
        </w:rPr>
      </w:pPr>
      <w:r>
        <w:rPr>
          <w:rFonts w:hint="eastAsia" w:ascii="宋体" w:hAnsi="宋体" w:eastAsia="宋体"/>
        </w:rPr>
        <w:t>2、门卫员工通道的广告门采用以下参考样式，采用铝合金材质，要求壁厚不小于1.2mm，尺寸为参考尺寸。</w:t>
      </w:r>
    </w:p>
    <w:p w14:paraId="2354D020">
      <w:pPr>
        <w:spacing w:line="360" w:lineRule="auto"/>
        <w:ind w:firstLine="210" w:firstLineChars="100"/>
        <w:rPr>
          <w:rFonts w:ascii="宋体" w:hAnsi="宋体" w:eastAsia="宋体"/>
        </w:rPr>
      </w:pPr>
      <w:r>
        <w:rPr>
          <w:rFonts w:hint="eastAsia" w:ascii="宋体" w:hAnsi="宋体" w:eastAsia="宋体"/>
        </w:rPr>
        <w:t>3、生产区摆闸门采用以下参考款式，尺寸为参考尺寸，具体根据现场位置和距离确定。要求具备人脸、刷卡2种验证的进出方式，采用304不锈钢材质。</w:t>
      </w:r>
    </w:p>
    <w:p w14:paraId="451449C1">
      <w:pPr>
        <w:tabs>
          <w:tab w:val="left" w:pos="284"/>
        </w:tabs>
        <w:spacing w:line="360" w:lineRule="auto"/>
        <w:ind w:firstLine="567" w:firstLineChars="270"/>
        <w:rPr>
          <w:rFonts w:ascii="宋体" w:hAnsi="宋体" w:eastAsia="宋体"/>
        </w:rPr>
      </w:pPr>
      <w:r>
        <w:rPr>
          <w:rFonts w:ascii="宋体" w:hAnsi="宋体" w:eastAsia="宋体"/>
        </w:rPr>
        <w:drawing>
          <wp:inline distT="0" distB="0" distL="0" distR="0">
            <wp:extent cx="3698240" cy="2716530"/>
            <wp:effectExtent l="0" t="0" r="16510" b="7620"/>
            <wp:docPr id="16595879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58795" name="图片 1"/>
                    <pic:cNvPicPr>
                      <a:picLocks noChangeAspect="1"/>
                    </pic:cNvPicPr>
                  </pic:nvPicPr>
                  <pic:blipFill>
                    <a:blip r:embed="rId5"/>
                    <a:stretch>
                      <a:fillRect/>
                    </a:stretch>
                  </pic:blipFill>
                  <pic:spPr>
                    <a:xfrm>
                      <a:off x="0" y="0"/>
                      <a:ext cx="3729527" cy="2739896"/>
                    </a:xfrm>
                    <a:prstGeom prst="rect">
                      <a:avLst/>
                    </a:prstGeom>
                  </pic:spPr>
                </pic:pic>
              </a:graphicData>
            </a:graphic>
          </wp:inline>
        </w:drawing>
      </w:r>
    </w:p>
    <w:p w14:paraId="291C05BE">
      <w:pPr>
        <w:spacing w:line="360" w:lineRule="auto"/>
        <w:ind w:left="283" w:leftChars="135" w:firstLine="210" w:firstLineChars="100"/>
        <w:rPr>
          <w:rFonts w:ascii="宋体" w:hAnsi="宋体" w:eastAsia="宋体"/>
        </w:rPr>
      </w:pPr>
      <w:r>
        <w:rPr>
          <w:rFonts w:ascii="宋体" w:hAnsi="宋体" w:eastAsia="宋体"/>
        </w:rPr>
        <w:drawing>
          <wp:inline distT="0" distB="0" distL="0" distR="0">
            <wp:extent cx="3761105" cy="2325370"/>
            <wp:effectExtent l="0" t="0" r="10795" b="17780"/>
            <wp:docPr id="17543769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376900" name="图片 1"/>
                    <pic:cNvPicPr>
                      <a:picLocks noChangeAspect="1"/>
                    </pic:cNvPicPr>
                  </pic:nvPicPr>
                  <pic:blipFill>
                    <a:blip r:embed="rId6"/>
                    <a:stretch>
                      <a:fillRect/>
                    </a:stretch>
                  </pic:blipFill>
                  <pic:spPr>
                    <a:xfrm>
                      <a:off x="0" y="0"/>
                      <a:ext cx="3773392" cy="2333270"/>
                    </a:xfrm>
                    <a:prstGeom prst="rect">
                      <a:avLst/>
                    </a:prstGeom>
                  </pic:spPr>
                </pic:pic>
              </a:graphicData>
            </a:graphic>
          </wp:inline>
        </w:drawing>
      </w:r>
    </w:p>
    <w:p w14:paraId="7796D8A4">
      <w:pPr>
        <w:spacing w:line="360" w:lineRule="auto"/>
        <w:ind w:left="-283" w:leftChars="-135" w:firstLine="424" w:firstLineChars="202"/>
        <w:rPr>
          <w:rFonts w:ascii="宋体" w:hAnsi="宋体" w:eastAsia="宋体"/>
        </w:rPr>
      </w:pPr>
      <w:r>
        <w:rPr>
          <w:rFonts w:ascii="宋体" w:hAnsi="宋体" w:eastAsia="宋体"/>
        </w:rPr>
        <w:drawing>
          <wp:inline distT="0" distB="0" distL="0" distR="0">
            <wp:extent cx="2251710" cy="2450465"/>
            <wp:effectExtent l="0" t="0" r="15240" b="6985"/>
            <wp:docPr id="9164290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429036"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272634" cy="2472705"/>
                    </a:xfrm>
                    <a:prstGeom prst="rect">
                      <a:avLst/>
                    </a:prstGeom>
                    <a:noFill/>
                    <a:ln>
                      <a:noFill/>
                    </a:ln>
                  </pic:spPr>
                </pic:pic>
              </a:graphicData>
            </a:graphic>
          </wp:inline>
        </w:drawing>
      </w:r>
      <w:r>
        <w:rPr>
          <w:rFonts w:ascii="宋体" w:hAnsi="宋体" w:eastAsia="宋体"/>
        </w:rPr>
        <w:drawing>
          <wp:inline distT="0" distB="0" distL="0" distR="0">
            <wp:extent cx="2882900" cy="2089150"/>
            <wp:effectExtent l="0" t="0" r="12700" b="6350"/>
            <wp:docPr id="10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904178" cy="2104826"/>
                    </a:xfrm>
                    <a:prstGeom prst="rect">
                      <a:avLst/>
                    </a:prstGeom>
                    <a:noFill/>
                    <a:ln>
                      <a:noFill/>
                    </a:ln>
                  </pic:spPr>
                </pic:pic>
              </a:graphicData>
            </a:graphic>
          </wp:inline>
        </w:drawing>
      </w:r>
    </w:p>
    <w:p w14:paraId="74BF8445">
      <w:pPr>
        <w:spacing w:line="360" w:lineRule="auto"/>
        <w:ind w:left="283" w:leftChars="135" w:firstLine="420" w:firstLineChars="200"/>
        <w:rPr>
          <w:rFonts w:ascii="宋体" w:hAnsi="宋体" w:eastAsia="宋体"/>
        </w:rPr>
      </w:pPr>
      <w:r>
        <w:rPr>
          <w:rFonts w:hint="eastAsia" w:ascii="宋体" w:hAnsi="宋体" w:eastAsia="宋体"/>
        </w:rPr>
        <w:t>广告门参考样式                                      摆闸门参考样式</w:t>
      </w:r>
    </w:p>
    <w:p w14:paraId="31C3D3EC">
      <w:pPr>
        <w:spacing w:line="360" w:lineRule="auto"/>
        <w:ind w:left="283" w:leftChars="135" w:firstLine="420" w:firstLineChars="200"/>
        <w:rPr>
          <w:rFonts w:ascii="宋体" w:hAnsi="宋体" w:eastAsia="宋体"/>
        </w:rPr>
      </w:pPr>
    </w:p>
    <w:p w14:paraId="005D7F68">
      <w:pPr>
        <w:rPr>
          <w:rFonts w:ascii="宋体" w:hAnsi="宋体" w:eastAsia="宋体"/>
        </w:rPr>
      </w:pPr>
      <w:r>
        <w:rPr>
          <w:rFonts w:hint="eastAsia" w:ascii="宋体" w:hAnsi="宋体" w:eastAsia="宋体"/>
        </w:rPr>
        <w:t>三、主要设备清单（包含但不限于）及详细要求</w:t>
      </w:r>
    </w:p>
    <w:tbl>
      <w:tblPr>
        <w:tblStyle w:val="11"/>
        <w:tblW w:w="0" w:type="auto"/>
        <w:tblInd w:w="-147" w:type="dxa"/>
        <w:tblLayout w:type="autofit"/>
        <w:tblCellMar>
          <w:top w:w="0" w:type="dxa"/>
          <w:left w:w="108" w:type="dxa"/>
          <w:bottom w:w="0" w:type="dxa"/>
          <w:right w:w="108" w:type="dxa"/>
        </w:tblCellMar>
      </w:tblPr>
      <w:tblGrid>
        <w:gridCol w:w="426"/>
        <w:gridCol w:w="1559"/>
        <w:gridCol w:w="4495"/>
        <w:gridCol w:w="416"/>
        <w:gridCol w:w="525"/>
        <w:gridCol w:w="1022"/>
      </w:tblGrid>
      <w:tr w14:paraId="49F37F53">
        <w:tblPrEx>
          <w:tblCellMar>
            <w:top w:w="0" w:type="dxa"/>
            <w:left w:w="108" w:type="dxa"/>
            <w:bottom w:w="0" w:type="dxa"/>
            <w:right w:w="108" w:type="dxa"/>
          </w:tblCellMar>
        </w:tblPrEx>
        <w:trPr>
          <w:trHeight w:val="600" w:hRule="atLeast"/>
        </w:trPr>
        <w:tc>
          <w:tcPr>
            <w:tcW w:w="4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BF8F86">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序号</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3ECE8A5F">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设备名称</w:t>
            </w:r>
          </w:p>
        </w:tc>
        <w:tc>
          <w:tcPr>
            <w:tcW w:w="4495" w:type="dxa"/>
            <w:tcBorders>
              <w:top w:val="single" w:color="auto" w:sz="4" w:space="0"/>
              <w:left w:val="nil"/>
              <w:bottom w:val="single" w:color="auto" w:sz="4" w:space="0"/>
              <w:right w:val="single" w:color="auto" w:sz="4" w:space="0"/>
            </w:tcBorders>
            <w:shd w:val="clear" w:color="auto" w:fill="auto"/>
            <w:noWrap/>
            <w:vAlign w:val="center"/>
          </w:tcPr>
          <w:p w14:paraId="6A10DD55">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规格型号</w:t>
            </w:r>
          </w:p>
        </w:tc>
        <w:tc>
          <w:tcPr>
            <w:tcW w:w="416" w:type="dxa"/>
            <w:tcBorders>
              <w:top w:val="single" w:color="auto" w:sz="4" w:space="0"/>
              <w:left w:val="nil"/>
              <w:bottom w:val="single" w:color="auto" w:sz="4" w:space="0"/>
              <w:right w:val="single" w:color="auto" w:sz="4" w:space="0"/>
            </w:tcBorders>
            <w:shd w:val="clear" w:color="auto" w:fill="auto"/>
            <w:noWrap/>
            <w:vAlign w:val="center"/>
          </w:tcPr>
          <w:p w14:paraId="24C41828">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单位</w:t>
            </w:r>
          </w:p>
        </w:tc>
        <w:tc>
          <w:tcPr>
            <w:tcW w:w="525" w:type="dxa"/>
            <w:tcBorders>
              <w:top w:val="single" w:color="auto" w:sz="4" w:space="0"/>
              <w:left w:val="nil"/>
              <w:bottom w:val="single" w:color="auto" w:sz="4" w:space="0"/>
              <w:right w:val="single" w:color="auto" w:sz="4" w:space="0"/>
            </w:tcBorders>
            <w:shd w:val="clear" w:color="auto" w:fill="auto"/>
            <w:noWrap/>
            <w:vAlign w:val="center"/>
          </w:tcPr>
          <w:p w14:paraId="52DD25DD">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数量</w:t>
            </w:r>
          </w:p>
        </w:tc>
        <w:tc>
          <w:tcPr>
            <w:tcW w:w="1022" w:type="dxa"/>
            <w:tcBorders>
              <w:top w:val="single" w:color="auto" w:sz="4" w:space="0"/>
              <w:left w:val="nil"/>
              <w:bottom w:val="single" w:color="auto" w:sz="4" w:space="0"/>
              <w:right w:val="single" w:color="auto" w:sz="4" w:space="0"/>
            </w:tcBorders>
            <w:shd w:val="clear" w:color="auto" w:fill="auto"/>
            <w:noWrap/>
            <w:vAlign w:val="center"/>
          </w:tcPr>
          <w:p w14:paraId="4D2E16B6">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备注</w:t>
            </w:r>
          </w:p>
        </w:tc>
      </w:tr>
      <w:tr w14:paraId="1D896466">
        <w:tblPrEx>
          <w:tblCellMar>
            <w:top w:w="0" w:type="dxa"/>
            <w:left w:w="108" w:type="dxa"/>
            <w:bottom w:w="0" w:type="dxa"/>
            <w:right w:w="108" w:type="dxa"/>
          </w:tblCellMar>
        </w:tblPrEx>
        <w:trPr>
          <w:trHeight w:val="600" w:hRule="atLeast"/>
        </w:trPr>
        <w:tc>
          <w:tcPr>
            <w:tcW w:w="198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AB03642">
            <w:pPr>
              <w:widowControl/>
              <w:jc w:val="center"/>
              <w:rPr>
                <w:rFonts w:ascii="宋体" w:hAnsi="宋体" w:eastAsia="宋体" w:cs="宋体"/>
                <w:b/>
                <w:bCs/>
                <w:color w:val="000000"/>
                <w:kern w:val="0"/>
                <w:sz w:val="20"/>
                <w:szCs w:val="20"/>
                <w14:ligatures w14:val="none"/>
              </w:rPr>
            </w:pPr>
            <w:r>
              <w:rPr>
                <w:rFonts w:hint="eastAsia" w:ascii="宋体" w:hAnsi="宋体" w:eastAsia="宋体" w:cs="宋体"/>
                <w:b/>
                <w:bCs/>
                <w:color w:val="000000"/>
                <w:kern w:val="0"/>
                <w:sz w:val="20"/>
                <w:szCs w:val="20"/>
                <w14:ligatures w14:val="none"/>
              </w:rPr>
              <w:t>门卫机动车道闸系统</w:t>
            </w:r>
          </w:p>
        </w:tc>
        <w:tc>
          <w:tcPr>
            <w:tcW w:w="4495" w:type="dxa"/>
            <w:tcBorders>
              <w:top w:val="nil"/>
              <w:left w:val="nil"/>
              <w:bottom w:val="single" w:color="auto" w:sz="4" w:space="0"/>
              <w:right w:val="single" w:color="auto" w:sz="4" w:space="0"/>
            </w:tcBorders>
            <w:shd w:val="clear" w:color="auto" w:fill="auto"/>
            <w:noWrap/>
            <w:vAlign w:val="center"/>
          </w:tcPr>
          <w:p w14:paraId="5F54D11A">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416" w:type="dxa"/>
            <w:tcBorders>
              <w:top w:val="nil"/>
              <w:left w:val="nil"/>
              <w:bottom w:val="single" w:color="auto" w:sz="4" w:space="0"/>
              <w:right w:val="single" w:color="auto" w:sz="4" w:space="0"/>
            </w:tcBorders>
            <w:shd w:val="clear" w:color="auto" w:fill="auto"/>
            <w:noWrap/>
            <w:vAlign w:val="center"/>
          </w:tcPr>
          <w:p w14:paraId="34338FAF">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525" w:type="dxa"/>
            <w:tcBorders>
              <w:top w:val="nil"/>
              <w:left w:val="nil"/>
              <w:bottom w:val="single" w:color="auto" w:sz="4" w:space="0"/>
              <w:right w:val="single" w:color="auto" w:sz="4" w:space="0"/>
            </w:tcBorders>
            <w:shd w:val="clear" w:color="auto" w:fill="auto"/>
            <w:noWrap/>
            <w:vAlign w:val="center"/>
          </w:tcPr>
          <w:p w14:paraId="44A17060">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1022" w:type="dxa"/>
            <w:tcBorders>
              <w:top w:val="nil"/>
              <w:left w:val="nil"/>
              <w:bottom w:val="single" w:color="auto" w:sz="4" w:space="0"/>
              <w:right w:val="single" w:color="auto" w:sz="4" w:space="0"/>
            </w:tcBorders>
            <w:shd w:val="clear" w:color="auto" w:fill="auto"/>
            <w:noWrap/>
            <w:vAlign w:val="center"/>
          </w:tcPr>
          <w:p w14:paraId="434B9ABC">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797893CD">
        <w:tblPrEx>
          <w:tblCellMar>
            <w:top w:w="0" w:type="dxa"/>
            <w:left w:w="108" w:type="dxa"/>
            <w:bottom w:w="0" w:type="dxa"/>
            <w:right w:w="108" w:type="dxa"/>
          </w:tblCellMar>
        </w:tblPrEx>
        <w:trPr>
          <w:trHeight w:val="1278"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08A48309">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559" w:type="dxa"/>
            <w:tcBorders>
              <w:top w:val="nil"/>
              <w:left w:val="nil"/>
              <w:bottom w:val="single" w:color="auto" w:sz="4" w:space="0"/>
              <w:right w:val="single" w:color="auto" w:sz="4" w:space="0"/>
            </w:tcBorders>
            <w:shd w:val="clear" w:color="auto" w:fill="auto"/>
            <w:noWrap/>
            <w:vAlign w:val="center"/>
          </w:tcPr>
          <w:p w14:paraId="7E7E363D">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智能直杆道闸</w:t>
            </w:r>
          </w:p>
        </w:tc>
        <w:tc>
          <w:tcPr>
            <w:tcW w:w="4495" w:type="dxa"/>
            <w:tcBorders>
              <w:top w:val="nil"/>
              <w:left w:val="nil"/>
              <w:bottom w:val="single" w:color="auto" w:sz="4" w:space="0"/>
              <w:right w:val="single" w:color="auto" w:sz="4" w:space="0"/>
            </w:tcBorders>
            <w:shd w:val="clear" w:color="auto" w:fill="auto"/>
            <w:vAlign w:val="center"/>
          </w:tcPr>
          <w:p w14:paraId="6D84BDF2">
            <w:pPr>
              <w:widowControl/>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抬杆时间：3-6秒（杆长5.5-6m，以现场实际长度为准），静电粉尘高温烤漆（180度~250度）不褪色。</w:t>
            </w:r>
          </w:p>
          <w:p w14:paraId="3F7CAA77">
            <w:pPr>
              <w:widowControl/>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含控制板、无线遥控；</w:t>
            </w:r>
          </w:p>
        </w:tc>
        <w:tc>
          <w:tcPr>
            <w:tcW w:w="416" w:type="dxa"/>
            <w:tcBorders>
              <w:top w:val="nil"/>
              <w:left w:val="nil"/>
              <w:bottom w:val="single" w:color="auto" w:sz="4" w:space="0"/>
              <w:right w:val="single" w:color="auto" w:sz="4" w:space="0"/>
            </w:tcBorders>
            <w:shd w:val="clear" w:color="auto" w:fill="auto"/>
            <w:noWrap/>
            <w:vAlign w:val="center"/>
          </w:tcPr>
          <w:p w14:paraId="259AFC2E">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台</w:t>
            </w:r>
          </w:p>
        </w:tc>
        <w:tc>
          <w:tcPr>
            <w:tcW w:w="525" w:type="dxa"/>
            <w:tcBorders>
              <w:top w:val="nil"/>
              <w:left w:val="nil"/>
              <w:bottom w:val="single" w:color="auto" w:sz="4" w:space="0"/>
              <w:right w:val="single" w:color="auto" w:sz="4" w:space="0"/>
            </w:tcBorders>
            <w:shd w:val="clear" w:color="auto" w:fill="auto"/>
            <w:noWrap/>
            <w:vAlign w:val="center"/>
          </w:tcPr>
          <w:p w14:paraId="5EA07A92">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3</w:t>
            </w:r>
          </w:p>
        </w:tc>
        <w:tc>
          <w:tcPr>
            <w:tcW w:w="1022" w:type="dxa"/>
            <w:tcBorders>
              <w:top w:val="nil"/>
              <w:left w:val="nil"/>
              <w:bottom w:val="single" w:color="auto" w:sz="4" w:space="0"/>
              <w:right w:val="single" w:color="auto" w:sz="4" w:space="0"/>
            </w:tcBorders>
            <w:shd w:val="clear" w:color="auto" w:fill="auto"/>
            <w:vAlign w:val="center"/>
          </w:tcPr>
          <w:p w14:paraId="580AFCA1">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配5把遥控钥匙</w:t>
            </w:r>
          </w:p>
        </w:tc>
      </w:tr>
      <w:tr w14:paraId="1A716022">
        <w:tblPrEx>
          <w:tblCellMar>
            <w:top w:w="0" w:type="dxa"/>
            <w:left w:w="108" w:type="dxa"/>
            <w:bottom w:w="0" w:type="dxa"/>
            <w:right w:w="108" w:type="dxa"/>
          </w:tblCellMar>
        </w:tblPrEx>
        <w:trPr>
          <w:trHeight w:val="73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17665C98">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w:t>
            </w:r>
          </w:p>
        </w:tc>
        <w:tc>
          <w:tcPr>
            <w:tcW w:w="1559" w:type="dxa"/>
            <w:tcBorders>
              <w:top w:val="nil"/>
              <w:left w:val="nil"/>
              <w:bottom w:val="single" w:color="auto" w:sz="4" w:space="0"/>
              <w:right w:val="single" w:color="auto" w:sz="4" w:space="0"/>
            </w:tcBorders>
            <w:shd w:val="clear" w:color="auto" w:fill="auto"/>
            <w:noWrap/>
            <w:vAlign w:val="center"/>
          </w:tcPr>
          <w:p w14:paraId="6824612C">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雷达地感</w:t>
            </w:r>
          </w:p>
        </w:tc>
        <w:tc>
          <w:tcPr>
            <w:tcW w:w="4495" w:type="dxa"/>
            <w:tcBorders>
              <w:top w:val="nil"/>
              <w:left w:val="nil"/>
              <w:bottom w:val="single" w:color="auto" w:sz="4" w:space="0"/>
              <w:right w:val="single" w:color="auto" w:sz="4" w:space="0"/>
            </w:tcBorders>
            <w:shd w:val="clear" w:color="auto" w:fill="auto"/>
            <w:noWrap/>
            <w:vAlign w:val="center"/>
          </w:tcPr>
          <w:p w14:paraId="450CC7FD">
            <w:pPr>
              <w:widowControl/>
              <w:jc w:val="left"/>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优于或不低于79GHz毫米波雷达，确保车辆、行人安全通过。</w:t>
            </w:r>
          </w:p>
        </w:tc>
        <w:tc>
          <w:tcPr>
            <w:tcW w:w="416" w:type="dxa"/>
            <w:tcBorders>
              <w:top w:val="nil"/>
              <w:left w:val="nil"/>
              <w:bottom w:val="single" w:color="auto" w:sz="4" w:space="0"/>
              <w:right w:val="single" w:color="auto" w:sz="4" w:space="0"/>
            </w:tcBorders>
            <w:shd w:val="clear" w:color="auto" w:fill="auto"/>
            <w:noWrap/>
            <w:vAlign w:val="center"/>
          </w:tcPr>
          <w:p w14:paraId="2013BF18">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个</w:t>
            </w:r>
          </w:p>
        </w:tc>
        <w:tc>
          <w:tcPr>
            <w:tcW w:w="525" w:type="dxa"/>
            <w:tcBorders>
              <w:top w:val="nil"/>
              <w:left w:val="nil"/>
              <w:bottom w:val="single" w:color="auto" w:sz="4" w:space="0"/>
              <w:right w:val="single" w:color="auto" w:sz="4" w:space="0"/>
            </w:tcBorders>
            <w:shd w:val="clear" w:color="auto" w:fill="auto"/>
            <w:noWrap/>
            <w:vAlign w:val="center"/>
          </w:tcPr>
          <w:p w14:paraId="0B81E777">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3</w:t>
            </w:r>
          </w:p>
        </w:tc>
        <w:tc>
          <w:tcPr>
            <w:tcW w:w="1022" w:type="dxa"/>
            <w:tcBorders>
              <w:top w:val="nil"/>
              <w:left w:val="nil"/>
              <w:bottom w:val="single" w:color="auto" w:sz="4" w:space="0"/>
              <w:right w:val="single" w:color="auto" w:sz="4" w:space="0"/>
            </w:tcBorders>
            <w:shd w:val="clear" w:color="auto" w:fill="auto"/>
            <w:noWrap/>
            <w:vAlign w:val="center"/>
          </w:tcPr>
          <w:p w14:paraId="2FDE9BFA">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5B710526">
        <w:tblPrEx>
          <w:tblCellMar>
            <w:top w:w="0" w:type="dxa"/>
            <w:left w:w="108" w:type="dxa"/>
            <w:bottom w:w="0" w:type="dxa"/>
            <w:right w:w="108" w:type="dxa"/>
          </w:tblCellMar>
        </w:tblPrEx>
        <w:trPr>
          <w:trHeight w:val="114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089A5967">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3</w:t>
            </w:r>
          </w:p>
        </w:tc>
        <w:tc>
          <w:tcPr>
            <w:tcW w:w="1559" w:type="dxa"/>
            <w:tcBorders>
              <w:top w:val="nil"/>
              <w:left w:val="nil"/>
              <w:bottom w:val="single" w:color="auto" w:sz="4" w:space="0"/>
              <w:right w:val="single" w:color="auto" w:sz="4" w:space="0"/>
            </w:tcBorders>
            <w:shd w:val="clear" w:color="auto" w:fill="auto"/>
            <w:noWrap/>
            <w:vAlign w:val="center"/>
          </w:tcPr>
          <w:p w14:paraId="0EFD8B8F">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车牌识别部分</w:t>
            </w:r>
          </w:p>
        </w:tc>
        <w:tc>
          <w:tcPr>
            <w:tcW w:w="4495" w:type="dxa"/>
            <w:tcBorders>
              <w:top w:val="nil"/>
              <w:left w:val="nil"/>
              <w:bottom w:val="single" w:color="auto" w:sz="4" w:space="0"/>
              <w:right w:val="single" w:color="auto" w:sz="4" w:space="0"/>
            </w:tcBorders>
            <w:shd w:val="clear" w:color="auto" w:fill="auto"/>
            <w:vAlign w:val="center"/>
          </w:tcPr>
          <w:p w14:paraId="7832FD0C">
            <w:pPr>
              <w:widowControl/>
              <w:jc w:val="left"/>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包含300w高清网络头、光感频闪灯、补光灯及支架。</w:t>
            </w:r>
          </w:p>
          <w:p w14:paraId="1CDF68A7">
            <w:pPr>
              <w:widowControl/>
              <w:jc w:val="left"/>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4.5米以内道宽均可识别，适应中雨、小雾天气状况。</w:t>
            </w:r>
          </w:p>
          <w:p w14:paraId="7E3E65A9">
            <w:pPr>
              <w:widowControl/>
              <w:jc w:val="left"/>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全系列车牌均可识别（蓝牌、黄牌、警牌、新能源等）</w:t>
            </w:r>
          </w:p>
          <w:p w14:paraId="55236157">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支持大角度识别≤</w:t>
            </w:r>
            <w:r>
              <w:rPr>
                <w:rFonts w:ascii="宋体" w:hAnsi="宋体" w:eastAsia="宋体" w:cs="宋体"/>
                <w:color w:val="000000"/>
                <w:kern w:val="0"/>
                <w:sz w:val="18"/>
                <w:szCs w:val="18"/>
                <w14:ligatures w14:val="none"/>
              </w:rPr>
              <w:t>60°的通道环境</w:t>
            </w:r>
          </w:p>
          <w:p w14:paraId="7CB1210B">
            <w:pPr>
              <w:widowControl/>
              <w:jc w:val="left"/>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含车牌硬识别软件狗</w:t>
            </w:r>
          </w:p>
        </w:tc>
        <w:tc>
          <w:tcPr>
            <w:tcW w:w="416" w:type="dxa"/>
            <w:tcBorders>
              <w:top w:val="nil"/>
              <w:left w:val="nil"/>
              <w:bottom w:val="single" w:color="auto" w:sz="4" w:space="0"/>
              <w:right w:val="single" w:color="auto" w:sz="4" w:space="0"/>
            </w:tcBorders>
            <w:shd w:val="clear" w:color="auto" w:fill="auto"/>
            <w:noWrap/>
            <w:vAlign w:val="center"/>
          </w:tcPr>
          <w:p w14:paraId="0211B533">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套</w:t>
            </w:r>
          </w:p>
        </w:tc>
        <w:tc>
          <w:tcPr>
            <w:tcW w:w="525" w:type="dxa"/>
            <w:tcBorders>
              <w:top w:val="nil"/>
              <w:left w:val="nil"/>
              <w:bottom w:val="single" w:color="auto" w:sz="4" w:space="0"/>
              <w:right w:val="single" w:color="auto" w:sz="4" w:space="0"/>
            </w:tcBorders>
            <w:shd w:val="clear" w:color="auto" w:fill="auto"/>
            <w:noWrap/>
            <w:vAlign w:val="center"/>
          </w:tcPr>
          <w:p w14:paraId="5348F2C2">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4</w:t>
            </w:r>
          </w:p>
        </w:tc>
        <w:tc>
          <w:tcPr>
            <w:tcW w:w="1022" w:type="dxa"/>
            <w:tcBorders>
              <w:top w:val="nil"/>
              <w:left w:val="nil"/>
              <w:bottom w:val="single" w:color="auto" w:sz="4" w:space="0"/>
              <w:right w:val="single" w:color="auto" w:sz="4" w:space="0"/>
            </w:tcBorders>
            <w:shd w:val="clear" w:color="auto" w:fill="auto"/>
            <w:vAlign w:val="center"/>
          </w:tcPr>
          <w:p w14:paraId="09CD71C6">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05F8DF84">
        <w:tblPrEx>
          <w:tblCellMar>
            <w:top w:w="0" w:type="dxa"/>
            <w:left w:w="108" w:type="dxa"/>
            <w:bottom w:w="0" w:type="dxa"/>
            <w:right w:w="108" w:type="dxa"/>
          </w:tblCellMar>
        </w:tblPrEx>
        <w:trPr>
          <w:trHeight w:val="1263"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579C47BF">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4</w:t>
            </w:r>
          </w:p>
        </w:tc>
        <w:tc>
          <w:tcPr>
            <w:tcW w:w="1559" w:type="dxa"/>
            <w:tcBorders>
              <w:top w:val="nil"/>
              <w:left w:val="nil"/>
              <w:bottom w:val="single" w:color="auto" w:sz="4" w:space="0"/>
              <w:right w:val="single" w:color="auto" w:sz="4" w:space="0"/>
            </w:tcBorders>
            <w:shd w:val="clear" w:color="auto" w:fill="auto"/>
            <w:noWrap/>
            <w:vAlign w:val="center"/>
          </w:tcPr>
          <w:p w14:paraId="1ACCAE03">
            <w:pPr>
              <w:widowControl/>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LED显示一体机</w:t>
            </w:r>
          </w:p>
        </w:tc>
        <w:tc>
          <w:tcPr>
            <w:tcW w:w="4495" w:type="dxa"/>
            <w:tcBorders>
              <w:top w:val="nil"/>
              <w:left w:val="nil"/>
              <w:bottom w:val="single" w:color="auto" w:sz="4" w:space="0"/>
              <w:right w:val="single" w:color="auto" w:sz="4" w:space="0"/>
            </w:tcBorders>
            <w:shd w:val="clear" w:color="auto" w:fill="auto"/>
            <w:vAlign w:val="center"/>
          </w:tcPr>
          <w:p w14:paraId="45F21290">
            <w:pPr>
              <w:widowControl/>
              <w:jc w:val="left"/>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包含语音系统、ARM控制板、彩色显示屏（2列4行）、摄像机立柱、方向结、相机电源、机箱、空开、喇叭、抱箍。</w:t>
            </w:r>
          </w:p>
        </w:tc>
        <w:tc>
          <w:tcPr>
            <w:tcW w:w="416" w:type="dxa"/>
            <w:tcBorders>
              <w:top w:val="nil"/>
              <w:left w:val="nil"/>
              <w:bottom w:val="single" w:color="auto" w:sz="4" w:space="0"/>
              <w:right w:val="single" w:color="auto" w:sz="4" w:space="0"/>
            </w:tcBorders>
            <w:shd w:val="clear" w:color="auto" w:fill="auto"/>
            <w:noWrap/>
            <w:vAlign w:val="center"/>
          </w:tcPr>
          <w:p w14:paraId="0326CD39">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套</w:t>
            </w:r>
          </w:p>
        </w:tc>
        <w:tc>
          <w:tcPr>
            <w:tcW w:w="525" w:type="dxa"/>
            <w:tcBorders>
              <w:top w:val="nil"/>
              <w:left w:val="nil"/>
              <w:bottom w:val="single" w:color="auto" w:sz="4" w:space="0"/>
              <w:right w:val="single" w:color="auto" w:sz="4" w:space="0"/>
            </w:tcBorders>
            <w:shd w:val="clear" w:color="auto" w:fill="auto"/>
            <w:noWrap/>
            <w:vAlign w:val="center"/>
          </w:tcPr>
          <w:p w14:paraId="1B849842">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4</w:t>
            </w:r>
          </w:p>
        </w:tc>
        <w:tc>
          <w:tcPr>
            <w:tcW w:w="1022" w:type="dxa"/>
            <w:tcBorders>
              <w:top w:val="nil"/>
              <w:left w:val="nil"/>
              <w:bottom w:val="single" w:color="auto" w:sz="4" w:space="0"/>
              <w:right w:val="single" w:color="auto" w:sz="4" w:space="0"/>
            </w:tcBorders>
            <w:shd w:val="clear" w:color="auto" w:fill="auto"/>
            <w:vAlign w:val="center"/>
          </w:tcPr>
          <w:p w14:paraId="64EC9DBF">
            <w:pPr>
              <w:widowControl/>
              <w:jc w:val="center"/>
              <w:rPr>
                <w:rFonts w:ascii="宋体" w:hAnsi="宋体" w:eastAsia="宋体" w:cs="宋体"/>
                <w:color w:val="000000"/>
                <w:kern w:val="0"/>
                <w:sz w:val="20"/>
                <w:szCs w:val="20"/>
                <w14:ligatures w14:val="none"/>
              </w:rPr>
            </w:pPr>
          </w:p>
        </w:tc>
      </w:tr>
      <w:tr w14:paraId="0D914937">
        <w:tblPrEx>
          <w:tblCellMar>
            <w:top w:w="0" w:type="dxa"/>
            <w:left w:w="108" w:type="dxa"/>
            <w:bottom w:w="0" w:type="dxa"/>
            <w:right w:w="108" w:type="dxa"/>
          </w:tblCellMar>
        </w:tblPrEx>
        <w:trPr>
          <w:trHeight w:val="60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1AB5F600">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5</w:t>
            </w:r>
          </w:p>
        </w:tc>
        <w:tc>
          <w:tcPr>
            <w:tcW w:w="1559" w:type="dxa"/>
            <w:tcBorders>
              <w:top w:val="nil"/>
              <w:left w:val="nil"/>
              <w:bottom w:val="single" w:color="auto" w:sz="4" w:space="0"/>
              <w:right w:val="single" w:color="auto" w:sz="4" w:space="0"/>
            </w:tcBorders>
            <w:shd w:val="clear" w:color="auto" w:fill="auto"/>
            <w:noWrap/>
            <w:vAlign w:val="center"/>
          </w:tcPr>
          <w:p w14:paraId="179174EF">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管理服务端软件</w:t>
            </w:r>
          </w:p>
        </w:tc>
        <w:tc>
          <w:tcPr>
            <w:tcW w:w="4495" w:type="dxa"/>
            <w:tcBorders>
              <w:top w:val="nil"/>
              <w:left w:val="nil"/>
              <w:bottom w:val="single" w:color="auto" w:sz="4" w:space="0"/>
              <w:right w:val="single" w:color="auto" w:sz="4" w:space="0"/>
            </w:tcBorders>
            <w:shd w:val="clear" w:color="auto" w:fill="auto"/>
            <w:noWrap/>
            <w:vAlign w:val="center"/>
          </w:tcPr>
          <w:p w14:paraId="66552806">
            <w:pPr>
              <w:widowControl/>
              <w:jc w:val="left"/>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可储存识别600组以上车牌，可导出车辆进出信息，</w:t>
            </w:r>
          </w:p>
        </w:tc>
        <w:tc>
          <w:tcPr>
            <w:tcW w:w="416" w:type="dxa"/>
            <w:tcBorders>
              <w:top w:val="nil"/>
              <w:left w:val="nil"/>
              <w:bottom w:val="single" w:color="auto" w:sz="4" w:space="0"/>
              <w:right w:val="single" w:color="auto" w:sz="4" w:space="0"/>
            </w:tcBorders>
            <w:shd w:val="clear" w:color="auto" w:fill="auto"/>
            <w:noWrap/>
            <w:vAlign w:val="center"/>
          </w:tcPr>
          <w:p w14:paraId="076AB8BA">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套</w:t>
            </w:r>
          </w:p>
        </w:tc>
        <w:tc>
          <w:tcPr>
            <w:tcW w:w="525" w:type="dxa"/>
            <w:tcBorders>
              <w:top w:val="nil"/>
              <w:left w:val="nil"/>
              <w:bottom w:val="single" w:color="auto" w:sz="4" w:space="0"/>
              <w:right w:val="single" w:color="auto" w:sz="4" w:space="0"/>
            </w:tcBorders>
            <w:shd w:val="clear" w:color="auto" w:fill="auto"/>
            <w:noWrap/>
            <w:vAlign w:val="center"/>
          </w:tcPr>
          <w:p w14:paraId="65D9A675">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022" w:type="dxa"/>
            <w:tcBorders>
              <w:top w:val="nil"/>
              <w:left w:val="nil"/>
              <w:bottom w:val="single" w:color="auto" w:sz="4" w:space="0"/>
              <w:right w:val="single" w:color="auto" w:sz="4" w:space="0"/>
            </w:tcBorders>
            <w:shd w:val="clear" w:color="auto" w:fill="auto"/>
            <w:noWrap/>
            <w:vAlign w:val="center"/>
          </w:tcPr>
          <w:p w14:paraId="4385FBB2">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7081775A">
        <w:tblPrEx>
          <w:tblCellMar>
            <w:top w:w="0" w:type="dxa"/>
            <w:left w:w="108" w:type="dxa"/>
            <w:bottom w:w="0" w:type="dxa"/>
            <w:right w:w="108" w:type="dxa"/>
          </w:tblCellMar>
        </w:tblPrEx>
        <w:trPr>
          <w:trHeight w:val="48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62B786B9">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6</w:t>
            </w:r>
          </w:p>
        </w:tc>
        <w:tc>
          <w:tcPr>
            <w:tcW w:w="1559" w:type="dxa"/>
            <w:tcBorders>
              <w:top w:val="nil"/>
              <w:left w:val="nil"/>
              <w:bottom w:val="single" w:color="auto" w:sz="4" w:space="0"/>
              <w:right w:val="single" w:color="auto" w:sz="4" w:space="0"/>
            </w:tcBorders>
            <w:shd w:val="clear" w:color="auto" w:fill="auto"/>
            <w:noWrap/>
            <w:vAlign w:val="center"/>
          </w:tcPr>
          <w:p w14:paraId="3F460299">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收费客户端软件</w:t>
            </w:r>
          </w:p>
        </w:tc>
        <w:tc>
          <w:tcPr>
            <w:tcW w:w="4495" w:type="dxa"/>
            <w:tcBorders>
              <w:top w:val="nil"/>
              <w:left w:val="nil"/>
              <w:bottom w:val="single" w:color="auto" w:sz="4" w:space="0"/>
              <w:right w:val="single" w:color="auto" w:sz="4" w:space="0"/>
            </w:tcBorders>
            <w:shd w:val="clear" w:color="auto" w:fill="auto"/>
            <w:noWrap/>
            <w:vAlign w:val="center"/>
          </w:tcPr>
          <w:p w14:paraId="0EFE48D5">
            <w:pPr>
              <w:widowControl/>
              <w:jc w:val="left"/>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可储存服务600组以上车牌</w:t>
            </w:r>
          </w:p>
        </w:tc>
        <w:tc>
          <w:tcPr>
            <w:tcW w:w="416" w:type="dxa"/>
            <w:tcBorders>
              <w:top w:val="nil"/>
              <w:left w:val="nil"/>
              <w:bottom w:val="single" w:color="auto" w:sz="4" w:space="0"/>
              <w:right w:val="single" w:color="auto" w:sz="4" w:space="0"/>
            </w:tcBorders>
            <w:shd w:val="clear" w:color="auto" w:fill="auto"/>
            <w:noWrap/>
            <w:vAlign w:val="center"/>
          </w:tcPr>
          <w:p w14:paraId="10C19E10">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套</w:t>
            </w:r>
          </w:p>
        </w:tc>
        <w:tc>
          <w:tcPr>
            <w:tcW w:w="525" w:type="dxa"/>
            <w:tcBorders>
              <w:top w:val="nil"/>
              <w:left w:val="nil"/>
              <w:bottom w:val="single" w:color="auto" w:sz="4" w:space="0"/>
              <w:right w:val="single" w:color="auto" w:sz="4" w:space="0"/>
            </w:tcBorders>
            <w:shd w:val="clear" w:color="auto" w:fill="auto"/>
            <w:noWrap/>
            <w:vAlign w:val="center"/>
          </w:tcPr>
          <w:p w14:paraId="0D5BAFAD">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022" w:type="dxa"/>
            <w:tcBorders>
              <w:top w:val="nil"/>
              <w:left w:val="nil"/>
              <w:bottom w:val="single" w:color="auto" w:sz="4" w:space="0"/>
              <w:right w:val="single" w:color="auto" w:sz="4" w:space="0"/>
            </w:tcBorders>
            <w:shd w:val="clear" w:color="auto" w:fill="auto"/>
            <w:noWrap/>
            <w:vAlign w:val="center"/>
          </w:tcPr>
          <w:p w14:paraId="6AE934CF">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7DE9555C">
        <w:tblPrEx>
          <w:tblCellMar>
            <w:top w:w="0" w:type="dxa"/>
            <w:left w:w="108" w:type="dxa"/>
            <w:bottom w:w="0" w:type="dxa"/>
            <w:right w:w="108" w:type="dxa"/>
          </w:tblCellMar>
        </w:tblPrEx>
        <w:trPr>
          <w:trHeight w:val="480" w:hRule="atLeast"/>
        </w:trPr>
        <w:tc>
          <w:tcPr>
            <w:tcW w:w="198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78FE18D">
            <w:pPr>
              <w:widowControl/>
              <w:jc w:val="center"/>
              <w:rPr>
                <w:rFonts w:ascii="宋体" w:hAnsi="宋体" w:eastAsia="宋体" w:cs="宋体"/>
                <w:b/>
                <w:bCs/>
                <w:color w:val="000000"/>
                <w:kern w:val="0"/>
                <w:sz w:val="20"/>
                <w:szCs w:val="20"/>
                <w14:ligatures w14:val="none"/>
              </w:rPr>
            </w:pPr>
            <w:r>
              <w:rPr>
                <w:rFonts w:hint="eastAsia" w:ascii="宋体" w:hAnsi="宋体" w:eastAsia="宋体" w:cs="宋体"/>
                <w:b/>
                <w:bCs/>
                <w:color w:val="000000"/>
                <w:kern w:val="0"/>
                <w:sz w:val="20"/>
                <w:szCs w:val="20"/>
                <w14:ligatures w14:val="none"/>
              </w:rPr>
              <w:t>门卫广告门</w:t>
            </w:r>
          </w:p>
        </w:tc>
        <w:tc>
          <w:tcPr>
            <w:tcW w:w="4495" w:type="dxa"/>
            <w:tcBorders>
              <w:top w:val="nil"/>
              <w:left w:val="nil"/>
              <w:bottom w:val="single" w:color="auto" w:sz="4" w:space="0"/>
              <w:right w:val="single" w:color="auto" w:sz="4" w:space="0"/>
            </w:tcBorders>
            <w:shd w:val="clear" w:color="auto" w:fill="auto"/>
            <w:noWrap/>
            <w:vAlign w:val="center"/>
          </w:tcPr>
          <w:p w14:paraId="1263396D">
            <w:pPr>
              <w:widowControl/>
              <w:jc w:val="left"/>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416" w:type="dxa"/>
            <w:tcBorders>
              <w:top w:val="nil"/>
              <w:left w:val="nil"/>
              <w:bottom w:val="single" w:color="auto" w:sz="4" w:space="0"/>
              <w:right w:val="single" w:color="auto" w:sz="4" w:space="0"/>
            </w:tcBorders>
            <w:shd w:val="clear" w:color="auto" w:fill="auto"/>
            <w:noWrap/>
            <w:vAlign w:val="center"/>
          </w:tcPr>
          <w:p w14:paraId="1851BA54">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525" w:type="dxa"/>
            <w:tcBorders>
              <w:top w:val="nil"/>
              <w:left w:val="nil"/>
              <w:bottom w:val="single" w:color="auto" w:sz="4" w:space="0"/>
              <w:right w:val="single" w:color="auto" w:sz="4" w:space="0"/>
            </w:tcBorders>
            <w:shd w:val="clear" w:color="auto" w:fill="auto"/>
            <w:noWrap/>
            <w:vAlign w:val="center"/>
          </w:tcPr>
          <w:p w14:paraId="42A05BB0">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1022" w:type="dxa"/>
            <w:tcBorders>
              <w:top w:val="nil"/>
              <w:left w:val="nil"/>
              <w:bottom w:val="single" w:color="auto" w:sz="4" w:space="0"/>
              <w:right w:val="single" w:color="auto" w:sz="4" w:space="0"/>
            </w:tcBorders>
            <w:shd w:val="clear" w:color="auto" w:fill="auto"/>
            <w:noWrap/>
            <w:vAlign w:val="center"/>
          </w:tcPr>
          <w:p w14:paraId="2F5BC32B">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0B28E19F">
        <w:tblPrEx>
          <w:tblCellMar>
            <w:top w:w="0" w:type="dxa"/>
            <w:left w:w="108" w:type="dxa"/>
            <w:bottom w:w="0" w:type="dxa"/>
            <w:right w:w="108" w:type="dxa"/>
          </w:tblCellMar>
        </w:tblPrEx>
        <w:trPr>
          <w:trHeight w:val="138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20D2E023">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559" w:type="dxa"/>
            <w:tcBorders>
              <w:top w:val="nil"/>
              <w:left w:val="nil"/>
              <w:bottom w:val="single" w:color="auto" w:sz="4" w:space="0"/>
              <w:right w:val="single" w:color="auto" w:sz="4" w:space="0"/>
            </w:tcBorders>
            <w:shd w:val="clear" w:color="auto" w:fill="auto"/>
            <w:noWrap/>
            <w:vAlign w:val="center"/>
          </w:tcPr>
          <w:p w14:paraId="5BBBDD9C">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铝合金小门</w:t>
            </w:r>
          </w:p>
        </w:tc>
        <w:tc>
          <w:tcPr>
            <w:tcW w:w="4495" w:type="dxa"/>
            <w:tcBorders>
              <w:top w:val="nil"/>
              <w:left w:val="nil"/>
              <w:bottom w:val="single" w:color="auto" w:sz="4" w:space="0"/>
              <w:right w:val="single" w:color="auto" w:sz="4" w:space="0"/>
            </w:tcBorders>
            <w:shd w:val="clear" w:color="auto" w:fill="auto"/>
            <w:vAlign w:val="center"/>
          </w:tcPr>
          <w:p w14:paraId="3761C708">
            <w:pPr>
              <w:widowControl/>
              <w:jc w:val="left"/>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长约1.925米，高约1.6米，以实际为准；左开门、右开门可自由切换。铝合金厚度大于1.2mm；含门框门柱、磁力锁、直流电机、控制器，电动小门(广告小门)功能:遥控、人脸识别自动开门:延时自动关门可调(1-31秒)，光控亮灯环保耐用:带防夹功能，遇阻反弹安全可靠</w:t>
            </w:r>
          </w:p>
        </w:tc>
        <w:tc>
          <w:tcPr>
            <w:tcW w:w="416" w:type="dxa"/>
            <w:tcBorders>
              <w:top w:val="nil"/>
              <w:left w:val="nil"/>
              <w:bottom w:val="single" w:color="auto" w:sz="4" w:space="0"/>
              <w:right w:val="single" w:color="auto" w:sz="4" w:space="0"/>
            </w:tcBorders>
            <w:shd w:val="clear" w:color="auto" w:fill="auto"/>
            <w:noWrap/>
            <w:vAlign w:val="center"/>
          </w:tcPr>
          <w:p w14:paraId="5D18C7DF">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套</w:t>
            </w:r>
          </w:p>
        </w:tc>
        <w:tc>
          <w:tcPr>
            <w:tcW w:w="525" w:type="dxa"/>
            <w:tcBorders>
              <w:top w:val="nil"/>
              <w:left w:val="nil"/>
              <w:bottom w:val="single" w:color="auto" w:sz="4" w:space="0"/>
              <w:right w:val="single" w:color="auto" w:sz="4" w:space="0"/>
            </w:tcBorders>
            <w:shd w:val="clear" w:color="auto" w:fill="auto"/>
            <w:noWrap/>
            <w:vAlign w:val="center"/>
          </w:tcPr>
          <w:p w14:paraId="5B8239E5">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022" w:type="dxa"/>
            <w:tcBorders>
              <w:top w:val="nil"/>
              <w:left w:val="nil"/>
              <w:bottom w:val="single" w:color="auto" w:sz="4" w:space="0"/>
              <w:right w:val="single" w:color="auto" w:sz="4" w:space="0"/>
            </w:tcBorders>
            <w:shd w:val="clear" w:color="auto" w:fill="auto"/>
            <w:vAlign w:val="center"/>
          </w:tcPr>
          <w:p w14:paraId="0F631346">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配2把遥控钥匙</w:t>
            </w:r>
          </w:p>
        </w:tc>
      </w:tr>
      <w:tr w14:paraId="109D9C73">
        <w:tblPrEx>
          <w:tblCellMar>
            <w:top w:w="0" w:type="dxa"/>
            <w:left w:w="108" w:type="dxa"/>
            <w:bottom w:w="0" w:type="dxa"/>
            <w:right w:w="108" w:type="dxa"/>
          </w:tblCellMar>
        </w:tblPrEx>
        <w:trPr>
          <w:trHeight w:val="140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39FE22D5">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w:t>
            </w:r>
          </w:p>
        </w:tc>
        <w:tc>
          <w:tcPr>
            <w:tcW w:w="1559" w:type="dxa"/>
            <w:tcBorders>
              <w:top w:val="nil"/>
              <w:left w:val="nil"/>
              <w:bottom w:val="single" w:color="auto" w:sz="4" w:space="0"/>
              <w:right w:val="single" w:color="auto" w:sz="4" w:space="0"/>
            </w:tcBorders>
            <w:shd w:val="clear" w:color="auto" w:fill="auto"/>
            <w:noWrap/>
            <w:vAlign w:val="center"/>
          </w:tcPr>
          <w:p w14:paraId="305110FD">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铝合金小门</w:t>
            </w:r>
          </w:p>
        </w:tc>
        <w:tc>
          <w:tcPr>
            <w:tcW w:w="4495" w:type="dxa"/>
            <w:tcBorders>
              <w:top w:val="nil"/>
              <w:left w:val="nil"/>
              <w:bottom w:val="single" w:color="auto" w:sz="4" w:space="0"/>
              <w:right w:val="single" w:color="auto" w:sz="4" w:space="0"/>
            </w:tcBorders>
            <w:shd w:val="clear" w:color="auto" w:fill="auto"/>
            <w:vAlign w:val="center"/>
          </w:tcPr>
          <w:p w14:paraId="303958A5">
            <w:pPr>
              <w:widowControl/>
              <w:jc w:val="left"/>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xml:space="preserve">长约1.86米，高约1.6米，以实际为准；左开门、右开门可自由切换。铝合金厚度大于1.2mm；含门框门柱、磁力锁、直流电机、控制器，电动小门(广告小门)功能:遥控、人脸识别自动开门:延时自动关门可调(1-31秒)，光控亮灯环保耐用:带防夹功能，遇阻反弹安全可靠。 </w:t>
            </w:r>
          </w:p>
        </w:tc>
        <w:tc>
          <w:tcPr>
            <w:tcW w:w="416" w:type="dxa"/>
            <w:tcBorders>
              <w:top w:val="nil"/>
              <w:left w:val="nil"/>
              <w:bottom w:val="single" w:color="auto" w:sz="4" w:space="0"/>
              <w:right w:val="single" w:color="auto" w:sz="4" w:space="0"/>
            </w:tcBorders>
            <w:shd w:val="clear" w:color="auto" w:fill="auto"/>
            <w:noWrap/>
            <w:vAlign w:val="center"/>
          </w:tcPr>
          <w:p w14:paraId="7D9ACBB7">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套</w:t>
            </w:r>
          </w:p>
        </w:tc>
        <w:tc>
          <w:tcPr>
            <w:tcW w:w="525" w:type="dxa"/>
            <w:tcBorders>
              <w:top w:val="nil"/>
              <w:left w:val="nil"/>
              <w:bottom w:val="single" w:color="auto" w:sz="4" w:space="0"/>
              <w:right w:val="single" w:color="auto" w:sz="4" w:space="0"/>
            </w:tcBorders>
            <w:shd w:val="clear" w:color="auto" w:fill="auto"/>
            <w:noWrap/>
            <w:vAlign w:val="center"/>
          </w:tcPr>
          <w:p w14:paraId="7AD7CAB6">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022" w:type="dxa"/>
            <w:tcBorders>
              <w:top w:val="nil"/>
              <w:left w:val="nil"/>
              <w:bottom w:val="single" w:color="auto" w:sz="4" w:space="0"/>
              <w:right w:val="single" w:color="auto" w:sz="4" w:space="0"/>
            </w:tcBorders>
            <w:shd w:val="clear" w:color="auto" w:fill="auto"/>
            <w:vAlign w:val="center"/>
          </w:tcPr>
          <w:p w14:paraId="2F2C158F">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配2把遥控钥匙</w:t>
            </w:r>
          </w:p>
        </w:tc>
      </w:tr>
      <w:tr w14:paraId="29B45405">
        <w:tblPrEx>
          <w:tblCellMar>
            <w:top w:w="0" w:type="dxa"/>
            <w:left w:w="108" w:type="dxa"/>
            <w:bottom w:w="0" w:type="dxa"/>
            <w:right w:w="108" w:type="dxa"/>
          </w:tblCellMar>
        </w:tblPrEx>
        <w:trPr>
          <w:trHeight w:val="57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01A3D7F1">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3</w:t>
            </w:r>
          </w:p>
        </w:tc>
        <w:tc>
          <w:tcPr>
            <w:tcW w:w="1559" w:type="dxa"/>
            <w:tcBorders>
              <w:top w:val="nil"/>
              <w:left w:val="nil"/>
              <w:bottom w:val="single" w:color="auto" w:sz="4" w:space="0"/>
              <w:right w:val="single" w:color="auto" w:sz="4" w:space="0"/>
            </w:tcBorders>
            <w:shd w:val="clear" w:color="auto" w:fill="auto"/>
            <w:noWrap/>
            <w:vAlign w:val="center"/>
          </w:tcPr>
          <w:p w14:paraId="03C9B684">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铝合金固定扇</w:t>
            </w:r>
          </w:p>
        </w:tc>
        <w:tc>
          <w:tcPr>
            <w:tcW w:w="4495" w:type="dxa"/>
            <w:tcBorders>
              <w:top w:val="nil"/>
              <w:left w:val="nil"/>
              <w:bottom w:val="single" w:color="auto" w:sz="4" w:space="0"/>
              <w:right w:val="single" w:color="auto" w:sz="4" w:space="0"/>
            </w:tcBorders>
            <w:shd w:val="clear" w:color="auto" w:fill="auto"/>
            <w:noWrap/>
            <w:vAlign w:val="center"/>
          </w:tcPr>
          <w:p w14:paraId="2E75C75D">
            <w:pPr>
              <w:widowControl/>
              <w:jc w:val="left"/>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宽约2.28米、高约1.6米，以实际为准；铝合金厚度大于1.2mm；</w:t>
            </w:r>
          </w:p>
        </w:tc>
        <w:tc>
          <w:tcPr>
            <w:tcW w:w="416" w:type="dxa"/>
            <w:tcBorders>
              <w:top w:val="nil"/>
              <w:left w:val="nil"/>
              <w:bottom w:val="single" w:color="auto" w:sz="4" w:space="0"/>
              <w:right w:val="single" w:color="auto" w:sz="4" w:space="0"/>
            </w:tcBorders>
            <w:shd w:val="clear" w:color="auto" w:fill="auto"/>
            <w:noWrap/>
            <w:vAlign w:val="center"/>
          </w:tcPr>
          <w:p w14:paraId="18BABE64">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套</w:t>
            </w:r>
          </w:p>
        </w:tc>
        <w:tc>
          <w:tcPr>
            <w:tcW w:w="525" w:type="dxa"/>
            <w:tcBorders>
              <w:top w:val="nil"/>
              <w:left w:val="nil"/>
              <w:bottom w:val="single" w:color="auto" w:sz="4" w:space="0"/>
              <w:right w:val="single" w:color="auto" w:sz="4" w:space="0"/>
            </w:tcBorders>
            <w:shd w:val="clear" w:color="auto" w:fill="auto"/>
            <w:noWrap/>
            <w:vAlign w:val="center"/>
          </w:tcPr>
          <w:p w14:paraId="185BC8BA">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022" w:type="dxa"/>
            <w:tcBorders>
              <w:top w:val="nil"/>
              <w:left w:val="nil"/>
              <w:bottom w:val="single" w:color="auto" w:sz="4" w:space="0"/>
              <w:right w:val="single" w:color="auto" w:sz="4" w:space="0"/>
            </w:tcBorders>
            <w:shd w:val="clear" w:color="auto" w:fill="auto"/>
            <w:noWrap/>
            <w:vAlign w:val="center"/>
          </w:tcPr>
          <w:p w14:paraId="65F11D47">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22A15CDB">
        <w:tblPrEx>
          <w:tblCellMar>
            <w:top w:w="0" w:type="dxa"/>
            <w:left w:w="108" w:type="dxa"/>
            <w:bottom w:w="0" w:type="dxa"/>
            <w:right w:w="108" w:type="dxa"/>
          </w:tblCellMar>
        </w:tblPrEx>
        <w:trPr>
          <w:trHeight w:val="57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71C42A65">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4</w:t>
            </w:r>
          </w:p>
        </w:tc>
        <w:tc>
          <w:tcPr>
            <w:tcW w:w="1559" w:type="dxa"/>
            <w:tcBorders>
              <w:top w:val="nil"/>
              <w:left w:val="nil"/>
              <w:bottom w:val="single" w:color="auto" w:sz="4" w:space="0"/>
              <w:right w:val="single" w:color="auto" w:sz="4" w:space="0"/>
            </w:tcBorders>
            <w:shd w:val="clear" w:color="auto" w:fill="auto"/>
            <w:noWrap/>
            <w:vAlign w:val="center"/>
          </w:tcPr>
          <w:p w14:paraId="1CC46200">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铝合金固定扇</w:t>
            </w:r>
          </w:p>
        </w:tc>
        <w:tc>
          <w:tcPr>
            <w:tcW w:w="4495" w:type="dxa"/>
            <w:tcBorders>
              <w:top w:val="nil"/>
              <w:left w:val="nil"/>
              <w:bottom w:val="single" w:color="auto" w:sz="4" w:space="0"/>
              <w:right w:val="single" w:color="auto" w:sz="4" w:space="0"/>
            </w:tcBorders>
            <w:shd w:val="clear" w:color="auto" w:fill="auto"/>
            <w:noWrap/>
            <w:vAlign w:val="center"/>
          </w:tcPr>
          <w:p w14:paraId="19A8A776">
            <w:pPr>
              <w:widowControl/>
              <w:jc w:val="left"/>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宽约2.24米、高约1.6米，以实际为准；铝合金厚度大于1.2mm；</w:t>
            </w:r>
          </w:p>
        </w:tc>
        <w:tc>
          <w:tcPr>
            <w:tcW w:w="416" w:type="dxa"/>
            <w:tcBorders>
              <w:top w:val="nil"/>
              <w:left w:val="nil"/>
              <w:bottom w:val="single" w:color="auto" w:sz="4" w:space="0"/>
              <w:right w:val="single" w:color="auto" w:sz="4" w:space="0"/>
            </w:tcBorders>
            <w:shd w:val="clear" w:color="auto" w:fill="auto"/>
            <w:noWrap/>
            <w:vAlign w:val="center"/>
          </w:tcPr>
          <w:p w14:paraId="7D1B6B0C">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套</w:t>
            </w:r>
          </w:p>
        </w:tc>
        <w:tc>
          <w:tcPr>
            <w:tcW w:w="525" w:type="dxa"/>
            <w:tcBorders>
              <w:top w:val="nil"/>
              <w:left w:val="nil"/>
              <w:bottom w:val="single" w:color="auto" w:sz="4" w:space="0"/>
              <w:right w:val="single" w:color="auto" w:sz="4" w:space="0"/>
            </w:tcBorders>
            <w:shd w:val="clear" w:color="auto" w:fill="auto"/>
            <w:noWrap/>
            <w:vAlign w:val="center"/>
          </w:tcPr>
          <w:p w14:paraId="03F8D7EA">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022" w:type="dxa"/>
            <w:tcBorders>
              <w:top w:val="nil"/>
              <w:left w:val="nil"/>
              <w:bottom w:val="single" w:color="auto" w:sz="4" w:space="0"/>
              <w:right w:val="single" w:color="auto" w:sz="4" w:space="0"/>
            </w:tcBorders>
            <w:shd w:val="clear" w:color="auto" w:fill="auto"/>
            <w:noWrap/>
            <w:vAlign w:val="center"/>
          </w:tcPr>
          <w:p w14:paraId="5A1DC534">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1560A30F">
        <w:tblPrEx>
          <w:tblCellMar>
            <w:top w:w="0" w:type="dxa"/>
            <w:left w:w="108" w:type="dxa"/>
            <w:bottom w:w="0" w:type="dxa"/>
            <w:right w:w="108" w:type="dxa"/>
          </w:tblCellMar>
        </w:tblPrEx>
        <w:trPr>
          <w:trHeight w:val="570" w:hRule="atLeast"/>
        </w:trPr>
        <w:tc>
          <w:tcPr>
            <w:tcW w:w="198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E31CFE0">
            <w:pPr>
              <w:widowControl/>
              <w:jc w:val="center"/>
              <w:rPr>
                <w:rFonts w:ascii="宋体" w:hAnsi="宋体" w:eastAsia="宋体" w:cs="宋体"/>
                <w:b/>
                <w:bCs/>
                <w:color w:val="000000"/>
                <w:kern w:val="0"/>
                <w:sz w:val="20"/>
                <w:szCs w:val="20"/>
                <w14:ligatures w14:val="none"/>
              </w:rPr>
            </w:pPr>
            <w:r>
              <w:rPr>
                <w:rFonts w:hint="eastAsia" w:ascii="宋体" w:hAnsi="宋体" w:eastAsia="宋体" w:cs="宋体"/>
                <w:b/>
                <w:bCs/>
                <w:color w:val="000000"/>
                <w:kern w:val="0"/>
                <w:sz w:val="20"/>
                <w:szCs w:val="20"/>
                <w14:ligatures w14:val="none"/>
              </w:rPr>
              <w:t>生产区摆闸门</w:t>
            </w:r>
          </w:p>
        </w:tc>
        <w:tc>
          <w:tcPr>
            <w:tcW w:w="4495" w:type="dxa"/>
            <w:tcBorders>
              <w:top w:val="nil"/>
              <w:left w:val="nil"/>
              <w:bottom w:val="single" w:color="auto" w:sz="4" w:space="0"/>
              <w:right w:val="single" w:color="auto" w:sz="4" w:space="0"/>
            </w:tcBorders>
            <w:shd w:val="clear" w:color="auto" w:fill="auto"/>
            <w:noWrap/>
            <w:vAlign w:val="center"/>
          </w:tcPr>
          <w:p w14:paraId="3F63105B">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416" w:type="dxa"/>
            <w:tcBorders>
              <w:top w:val="nil"/>
              <w:left w:val="nil"/>
              <w:bottom w:val="single" w:color="auto" w:sz="4" w:space="0"/>
              <w:right w:val="single" w:color="auto" w:sz="4" w:space="0"/>
            </w:tcBorders>
            <w:shd w:val="clear" w:color="auto" w:fill="auto"/>
            <w:noWrap/>
            <w:vAlign w:val="center"/>
          </w:tcPr>
          <w:p w14:paraId="634FB1A2">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525" w:type="dxa"/>
            <w:tcBorders>
              <w:top w:val="nil"/>
              <w:left w:val="nil"/>
              <w:bottom w:val="single" w:color="auto" w:sz="4" w:space="0"/>
              <w:right w:val="single" w:color="auto" w:sz="4" w:space="0"/>
            </w:tcBorders>
            <w:shd w:val="clear" w:color="auto" w:fill="auto"/>
            <w:noWrap/>
            <w:vAlign w:val="center"/>
          </w:tcPr>
          <w:p w14:paraId="3361E8DC">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1022" w:type="dxa"/>
            <w:tcBorders>
              <w:top w:val="nil"/>
              <w:left w:val="nil"/>
              <w:bottom w:val="single" w:color="auto" w:sz="4" w:space="0"/>
              <w:right w:val="single" w:color="auto" w:sz="4" w:space="0"/>
            </w:tcBorders>
            <w:shd w:val="clear" w:color="auto" w:fill="auto"/>
            <w:noWrap/>
            <w:vAlign w:val="center"/>
          </w:tcPr>
          <w:p w14:paraId="651F1544">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74E15C77">
        <w:tblPrEx>
          <w:tblCellMar>
            <w:top w:w="0" w:type="dxa"/>
            <w:left w:w="108" w:type="dxa"/>
            <w:bottom w:w="0" w:type="dxa"/>
            <w:right w:w="108" w:type="dxa"/>
          </w:tblCellMar>
        </w:tblPrEx>
        <w:trPr>
          <w:trHeight w:val="263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0ADA3F47">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559" w:type="dxa"/>
            <w:tcBorders>
              <w:top w:val="nil"/>
              <w:left w:val="nil"/>
              <w:bottom w:val="single" w:color="auto" w:sz="4" w:space="0"/>
              <w:right w:val="single" w:color="auto" w:sz="4" w:space="0"/>
            </w:tcBorders>
            <w:shd w:val="clear" w:color="auto" w:fill="auto"/>
            <w:noWrap/>
            <w:vAlign w:val="center"/>
          </w:tcPr>
          <w:p w14:paraId="2269635A">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单机芯摆闸</w:t>
            </w:r>
          </w:p>
        </w:tc>
        <w:tc>
          <w:tcPr>
            <w:tcW w:w="4495" w:type="dxa"/>
            <w:tcBorders>
              <w:top w:val="nil"/>
              <w:left w:val="nil"/>
              <w:bottom w:val="single" w:color="auto" w:sz="4" w:space="0"/>
              <w:right w:val="single" w:color="auto" w:sz="4" w:space="0"/>
            </w:tcBorders>
            <w:shd w:val="clear" w:color="auto" w:fill="auto"/>
            <w:vAlign w:val="center"/>
          </w:tcPr>
          <w:p w14:paraId="66115FA8">
            <w:pPr>
              <w:widowControl/>
              <w:jc w:val="left"/>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材料：304不锈钢,厚度不小于1.0mm。                                                               具备人脸识别进出功能                                             单闸通行人数：不少于40人/分钟                                            红外：对开标配4对红外                                          断电自动打开，上电自动复位                                                                      通行方向：双向读卡窗、方向指示灯                                                       摆臂长度标准350mm                                                             工作环境：室外，底部要做隔潮安全岛</w:t>
            </w:r>
          </w:p>
        </w:tc>
        <w:tc>
          <w:tcPr>
            <w:tcW w:w="416" w:type="dxa"/>
            <w:tcBorders>
              <w:top w:val="nil"/>
              <w:left w:val="nil"/>
              <w:bottom w:val="single" w:color="auto" w:sz="4" w:space="0"/>
              <w:right w:val="single" w:color="auto" w:sz="4" w:space="0"/>
            </w:tcBorders>
            <w:shd w:val="clear" w:color="auto" w:fill="auto"/>
            <w:noWrap/>
            <w:vAlign w:val="center"/>
          </w:tcPr>
          <w:p w14:paraId="1926E432">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台</w:t>
            </w:r>
          </w:p>
        </w:tc>
        <w:tc>
          <w:tcPr>
            <w:tcW w:w="525" w:type="dxa"/>
            <w:tcBorders>
              <w:top w:val="nil"/>
              <w:left w:val="nil"/>
              <w:bottom w:val="single" w:color="auto" w:sz="4" w:space="0"/>
              <w:right w:val="single" w:color="auto" w:sz="4" w:space="0"/>
            </w:tcBorders>
            <w:shd w:val="clear" w:color="auto" w:fill="auto"/>
            <w:noWrap/>
            <w:vAlign w:val="center"/>
          </w:tcPr>
          <w:p w14:paraId="09E14E29">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w:t>
            </w:r>
          </w:p>
        </w:tc>
        <w:tc>
          <w:tcPr>
            <w:tcW w:w="1022" w:type="dxa"/>
            <w:tcBorders>
              <w:top w:val="nil"/>
              <w:left w:val="nil"/>
              <w:bottom w:val="single" w:color="auto" w:sz="4" w:space="0"/>
              <w:right w:val="single" w:color="auto" w:sz="4" w:space="0"/>
            </w:tcBorders>
            <w:shd w:val="clear" w:color="auto" w:fill="auto"/>
            <w:noWrap/>
            <w:vAlign w:val="center"/>
          </w:tcPr>
          <w:p w14:paraId="3CF96124">
            <w:pPr>
              <w:widowControl/>
              <w:jc w:val="left"/>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r w14:paraId="6F59A885">
        <w:tblPrEx>
          <w:tblCellMar>
            <w:top w:w="0" w:type="dxa"/>
            <w:left w:w="108" w:type="dxa"/>
            <w:bottom w:w="0" w:type="dxa"/>
            <w:right w:w="108" w:type="dxa"/>
          </w:tblCellMar>
        </w:tblPrEx>
        <w:trPr>
          <w:trHeight w:val="2420" w:hRule="atLeast"/>
        </w:trPr>
        <w:tc>
          <w:tcPr>
            <w:tcW w:w="426" w:type="dxa"/>
            <w:tcBorders>
              <w:top w:val="nil"/>
              <w:left w:val="single" w:color="auto" w:sz="4" w:space="0"/>
              <w:bottom w:val="single" w:color="auto" w:sz="4" w:space="0"/>
              <w:right w:val="single" w:color="auto" w:sz="4" w:space="0"/>
            </w:tcBorders>
            <w:shd w:val="clear" w:color="auto" w:fill="auto"/>
            <w:noWrap/>
            <w:vAlign w:val="center"/>
          </w:tcPr>
          <w:p w14:paraId="705DE4E9">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w:t>
            </w:r>
          </w:p>
        </w:tc>
        <w:tc>
          <w:tcPr>
            <w:tcW w:w="1559" w:type="dxa"/>
            <w:tcBorders>
              <w:top w:val="nil"/>
              <w:left w:val="nil"/>
              <w:bottom w:val="single" w:color="auto" w:sz="4" w:space="0"/>
              <w:right w:val="single" w:color="auto" w:sz="4" w:space="0"/>
            </w:tcBorders>
            <w:shd w:val="clear" w:color="auto" w:fill="auto"/>
            <w:noWrap/>
            <w:vAlign w:val="center"/>
          </w:tcPr>
          <w:p w14:paraId="654D9B0E">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双机新摆闸</w:t>
            </w:r>
          </w:p>
        </w:tc>
        <w:tc>
          <w:tcPr>
            <w:tcW w:w="4495" w:type="dxa"/>
            <w:tcBorders>
              <w:top w:val="nil"/>
              <w:left w:val="nil"/>
              <w:bottom w:val="single" w:color="auto" w:sz="4" w:space="0"/>
              <w:right w:val="single" w:color="auto" w:sz="4" w:space="0"/>
            </w:tcBorders>
            <w:shd w:val="clear" w:color="auto" w:fill="auto"/>
            <w:vAlign w:val="center"/>
          </w:tcPr>
          <w:p w14:paraId="78E32210">
            <w:pPr>
              <w:widowControl/>
              <w:jc w:val="left"/>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材料：304不锈钢,厚度不小于1.0mm。                                                               具备人脸识别进出功能                                             单闸通行人数：不少于40人/分钟                                            红外：对开标配4对红外                                          断电自动打开，上电自动复位                                                                      通行方向：双向读卡窗、方向指示灯                                                       摆臂长度标准350mm                                                             工作环境：室外，底部要做隔潮安全岛</w:t>
            </w:r>
          </w:p>
        </w:tc>
        <w:tc>
          <w:tcPr>
            <w:tcW w:w="416" w:type="dxa"/>
            <w:tcBorders>
              <w:top w:val="nil"/>
              <w:left w:val="nil"/>
              <w:bottom w:val="single" w:color="auto" w:sz="4" w:space="0"/>
              <w:right w:val="single" w:color="auto" w:sz="4" w:space="0"/>
            </w:tcBorders>
            <w:shd w:val="clear" w:color="auto" w:fill="auto"/>
            <w:noWrap/>
            <w:vAlign w:val="center"/>
          </w:tcPr>
          <w:p w14:paraId="79675927">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台</w:t>
            </w:r>
          </w:p>
        </w:tc>
        <w:tc>
          <w:tcPr>
            <w:tcW w:w="525" w:type="dxa"/>
            <w:tcBorders>
              <w:top w:val="nil"/>
              <w:left w:val="nil"/>
              <w:bottom w:val="single" w:color="auto" w:sz="4" w:space="0"/>
              <w:right w:val="single" w:color="auto" w:sz="4" w:space="0"/>
            </w:tcBorders>
            <w:shd w:val="clear" w:color="auto" w:fill="auto"/>
            <w:noWrap/>
            <w:vAlign w:val="center"/>
          </w:tcPr>
          <w:p w14:paraId="263ED758">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3</w:t>
            </w:r>
          </w:p>
        </w:tc>
        <w:tc>
          <w:tcPr>
            <w:tcW w:w="1022" w:type="dxa"/>
            <w:tcBorders>
              <w:top w:val="nil"/>
              <w:left w:val="nil"/>
              <w:bottom w:val="single" w:color="auto" w:sz="4" w:space="0"/>
              <w:right w:val="single" w:color="auto" w:sz="4" w:space="0"/>
            </w:tcBorders>
            <w:shd w:val="clear" w:color="auto" w:fill="auto"/>
            <w:noWrap/>
            <w:vAlign w:val="center"/>
          </w:tcPr>
          <w:p w14:paraId="1B9A01FA">
            <w:pPr>
              <w:widowControl/>
              <w:jc w:val="left"/>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r>
    </w:tbl>
    <w:p w14:paraId="4343DB70">
      <w:pPr>
        <w:rPr>
          <w:rFonts w:ascii="宋体" w:hAnsi="宋体" w:eastAsia="宋体"/>
        </w:rPr>
      </w:pPr>
    </w:p>
    <w:p w14:paraId="770966D4">
      <w:pPr>
        <w:spacing w:line="360" w:lineRule="auto"/>
        <w:rPr>
          <w:rFonts w:ascii="宋体" w:hAnsi="宋体" w:eastAsia="宋体"/>
        </w:rPr>
      </w:pPr>
      <w:r>
        <w:rPr>
          <w:rFonts w:hint="eastAsia" w:ascii="宋体" w:hAnsi="宋体" w:eastAsia="宋体"/>
        </w:rPr>
        <w:t>四、工期</w:t>
      </w:r>
    </w:p>
    <w:p w14:paraId="6BDD7510">
      <w:pPr>
        <w:spacing w:line="360" w:lineRule="auto"/>
        <w:ind w:firstLine="420" w:firstLineChars="200"/>
        <w:rPr>
          <w:rFonts w:ascii="宋体" w:hAnsi="宋体" w:eastAsia="宋体"/>
        </w:rPr>
      </w:pPr>
      <w:r>
        <w:rPr>
          <w:rFonts w:hint="eastAsia" w:ascii="宋体" w:hAnsi="宋体" w:eastAsia="宋体"/>
        </w:rPr>
        <w:t>20天</w:t>
      </w:r>
    </w:p>
    <w:p w14:paraId="6FA2F0B6">
      <w:pPr>
        <w:spacing w:line="360" w:lineRule="auto"/>
        <w:rPr>
          <w:rFonts w:ascii="宋体" w:hAnsi="宋体" w:eastAsia="宋体"/>
        </w:rPr>
      </w:pPr>
      <w:r>
        <w:rPr>
          <w:rFonts w:hint="eastAsia" w:ascii="宋体" w:hAnsi="宋体" w:eastAsia="宋体"/>
        </w:rPr>
        <w:t>五、质保期</w:t>
      </w:r>
    </w:p>
    <w:p w14:paraId="647F14CE">
      <w:pPr>
        <w:spacing w:line="360" w:lineRule="auto"/>
        <w:rPr>
          <w:rFonts w:ascii="宋体" w:hAnsi="宋体" w:eastAsia="宋体"/>
        </w:rPr>
      </w:pPr>
      <w:r>
        <w:rPr>
          <w:rFonts w:hint="eastAsia" w:ascii="宋体" w:hAnsi="宋体" w:eastAsia="宋体"/>
        </w:rPr>
        <w:t xml:space="preserve">    2年</w:t>
      </w:r>
    </w:p>
    <w:p w14:paraId="357DDD50"/>
    <w:p w14:paraId="4B9BFF89">
      <w:pPr>
        <w:tabs>
          <w:tab w:val="left" w:pos="0"/>
        </w:tabs>
        <w:snapToGrid w:val="0"/>
        <w:spacing w:line="540" w:lineRule="exact"/>
        <w:rPr>
          <w:rFonts w:hint="default" w:ascii="宋体" w:hAnsi="宋体"/>
          <w:sz w:val="24"/>
          <w:szCs w:val="22"/>
          <w:lang w:val="en-US" w:eastAsia="zh-CN"/>
        </w:rPr>
      </w:pPr>
    </w:p>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Microsoft Yahei Font">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宋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AEA2E">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4EF7C4"/>
    <w:multiLevelType w:val="multilevel"/>
    <w:tmpl w:val="A34EF7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FC4B6624"/>
    <w:multiLevelType w:val="singleLevel"/>
    <w:tmpl w:val="FC4B6624"/>
    <w:lvl w:ilvl="0" w:tentative="0">
      <w:start w:val="2"/>
      <w:numFmt w:val="chineseCounting"/>
      <w:suff w:val="nothing"/>
      <w:lvlText w:val="%1、"/>
      <w:lvlJc w:val="left"/>
      <w:rPr>
        <w:rFonts w:hint="eastAsia"/>
      </w:rPr>
    </w:lvl>
  </w:abstractNum>
  <w:abstractNum w:abstractNumId="2">
    <w:nsid w:val="2F8A17CC"/>
    <w:multiLevelType w:val="singleLevel"/>
    <w:tmpl w:val="2F8A17CC"/>
    <w:lvl w:ilvl="0" w:tentative="0">
      <w:start w:val="1"/>
      <w:numFmt w:val="decimal"/>
      <w:suff w:val="nothing"/>
      <w:lvlText w:val="%1．"/>
      <w:lvlJc w:val="left"/>
      <w:pPr>
        <w:ind w:firstLine="400"/>
      </w:pPr>
      <w:rPr>
        <w:rFonts w:hint="default"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iZDVjN2ZkYmJjOTg2ZGYxZjM1OTcyMWM5NjRkNDkifQ=="/>
  </w:docVars>
  <w:rsids>
    <w:rsidRoot w:val="00746632"/>
    <w:rsid w:val="00000116"/>
    <w:rsid w:val="00014652"/>
    <w:rsid w:val="00014684"/>
    <w:rsid w:val="0002132D"/>
    <w:rsid w:val="000319F9"/>
    <w:rsid w:val="000630A0"/>
    <w:rsid w:val="00065361"/>
    <w:rsid w:val="000767C5"/>
    <w:rsid w:val="0009075B"/>
    <w:rsid w:val="00091E88"/>
    <w:rsid w:val="000B01E9"/>
    <w:rsid w:val="000B107B"/>
    <w:rsid w:val="000B7222"/>
    <w:rsid w:val="000C024B"/>
    <w:rsid w:val="000C6C48"/>
    <w:rsid w:val="000E2F5C"/>
    <w:rsid w:val="00107FCE"/>
    <w:rsid w:val="00122F64"/>
    <w:rsid w:val="00123482"/>
    <w:rsid w:val="00127A69"/>
    <w:rsid w:val="00135D0F"/>
    <w:rsid w:val="00151C3A"/>
    <w:rsid w:val="001656AD"/>
    <w:rsid w:val="00183A2A"/>
    <w:rsid w:val="001A3173"/>
    <w:rsid w:val="001B2188"/>
    <w:rsid w:val="001B3D75"/>
    <w:rsid w:val="001C72C7"/>
    <w:rsid w:val="001D4206"/>
    <w:rsid w:val="001D5BA9"/>
    <w:rsid w:val="001E4DCE"/>
    <w:rsid w:val="001E5BD2"/>
    <w:rsid w:val="001E600B"/>
    <w:rsid w:val="001F161D"/>
    <w:rsid w:val="001F58BD"/>
    <w:rsid w:val="00200DDE"/>
    <w:rsid w:val="002019AA"/>
    <w:rsid w:val="0022453B"/>
    <w:rsid w:val="00234362"/>
    <w:rsid w:val="00237FB8"/>
    <w:rsid w:val="00246E90"/>
    <w:rsid w:val="00257D9E"/>
    <w:rsid w:val="002719D6"/>
    <w:rsid w:val="00280444"/>
    <w:rsid w:val="002939A9"/>
    <w:rsid w:val="002A286C"/>
    <w:rsid w:val="002A49B1"/>
    <w:rsid w:val="002B5194"/>
    <w:rsid w:val="002B63CD"/>
    <w:rsid w:val="002C2908"/>
    <w:rsid w:val="002C4A38"/>
    <w:rsid w:val="002E2155"/>
    <w:rsid w:val="0030686B"/>
    <w:rsid w:val="003224C6"/>
    <w:rsid w:val="003527EC"/>
    <w:rsid w:val="00360E24"/>
    <w:rsid w:val="003704AA"/>
    <w:rsid w:val="00371922"/>
    <w:rsid w:val="00392673"/>
    <w:rsid w:val="003A2542"/>
    <w:rsid w:val="003B160A"/>
    <w:rsid w:val="003B32EE"/>
    <w:rsid w:val="003E7661"/>
    <w:rsid w:val="003F2F07"/>
    <w:rsid w:val="003F624D"/>
    <w:rsid w:val="0040046B"/>
    <w:rsid w:val="00455F86"/>
    <w:rsid w:val="004568A8"/>
    <w:rsid w:val="0045796B"/>
    <w:rsid w:val="00471CA9"/>
    <w:rsid w:val="0048384B"/>
    <w:rsid w:val="00490DBB"/>
    <w:rsid w:val="004A33BA"/>
    <w:rsid w:val="004A522B"/>
    <w:rsid w:val="004A6EA4"/>
    <w:rsid w:val="004B3743"/>
    <w:rsid w:val="004B3871"/>
    <w:rsid w:val="004B3982"/>
    <w:rsid w:val="004D0D07"/>
    <w:rsid w:val="004D6899"/>
    <w:rsid w:val="004D7280"/>
    <w:rsid w:val="004F35E9"/>
    <w:rsid w:val="00504D89"/>
    <w:rsid w:val="00505E31"/>
    <w:rsid w:val="0051060A"/>
    <w:rsid w:val="00516F80"/>
    <w:rsid w:val="005273CB"/>
    <w:rsid w:val="0054021E"/>
    <w:rsid w:val="00553055"/>
    <w:rsid w:val="005661D6"/>
    <w:rsid w:val="00590AB8"/>
    <w:rsid w:val="00593ADB"/>
    <w:rsid w:val="005948FC"/>
    <w:rsid w:val="005A22D2"/>
    <w:rsid w:val="00600B69"/>
    <w:rsid w:val="0061602E"/>
    <w:rsid w:val="00623870"/>
    <w:rsid w:val="00642C46"/>
    <w:rsid w:val="0064457C"/>
    <w:rsid w:val="006455C6"/>
    <w:rsid w:val="00667E23"/>
    <w:rsid w:val="00690F98"/>
    <w:rsid w:val="006A276C"/>
    <w:rsid w:val="006B3DC0"/>
    <w:rsid w:val="006B5C26"/>
    <w:rsid w:val="006B699E"/>
    <w:rsid w:val="006C0EE1"/>
    <w:rsid w:val="006D5BE5"/>
    <w:rsid w:val="006D66D2"/>
    <w:rsid w:val="006E13D4"/>
    <w:rsid w:val="006E201C"/>
    <w:rsid w:val="006F0659"/>
    <w:rsid w:val="00701C1E"/>
    <w:rsid w:val="00732078"/>
    <w:rsid w:val="0073299E"/>
    <w:rsid w:val="00736EF6"/>
    <w:rsid w:val="00746632"/>
    <w:rsid w:val="007505D9"/>
    <w:rsid w:val="00755DF0"/>
    <w:rsid w:val="00773183"/>
    <w:rsid w:val="00775E61"/>
    <w:rsid w:val="007771C0"/>
    <w:rsid w:val="0078030B"/>
    <w:rsid w:val="00782C9C"/>
    <w:rsid w:val="007834F7"/>
    <w:rsid w:val="007877D0"/>
    <w:rsid w:val="007968AD"/>
    <w:rsid w:val="007A071F"/>
    <w:rsid w:val="007A5494"/>
    <w:rsid w:val="007B0A25"/>
    <w:rsid w:val="007C246A"/>
    <w:rsid w:val="007C257F"/>
    <w:rsid w:val="008034DA"/>
    <w:rsid w:val="008144E4"/>
    <w:rsid w:val="00835B45"/>
    <w:rsid w:val="00841114"/>
    <w:rsid w:val="00847DDD"/>
    <w:rsid w:val="008570EC"/>
    <w:rsid w:val="00857E7A"/>
    <w:rsid w:val="00864D62"/>
    <w:rsid w:val="00867E95"/>
    <w:rsid w:val="0087167F"/>
    <w:rsid w:val="0087476F"/>
    <w:rsid w:val="008C773F"/>
    <w:rsid w:val="008E67AF"/>
    <w:rsid w:val="008F4B56"/>
    <w:rsid w:val="009062C4"/>
    <w:rsid w:val="0091442B"/>
    <w:rsid w:val="009253D8"/>
    <w:rsid w:val="00940FF2"/>
    <w:rsid w:val="00942B03"/>
    <w:rsid w:val="0095173A"/>
    <w:rsid w:val="00977BC4"/>
    <w:rsid w:val="00987A8F"/>
    <w:rsid w:val="009976C7"/>
    <w:rsid w:val="009B121A"/>
    <w:rsid w:val="009B6824"/>
    <w:rsid w:val="009C15CF"/>
    <w:rsid w:val="009C52F2"/>
    <w:rsid w:val="009D56E3"/>
    <w:rsid w:val="009E0B46"/>
    <w:rsid w:val="009E13CC"/>
    <w:rsid w:val="009F4C1B"/>
    <w:rsid w:val="00A152A1"/>
    <w:rsid w:val="00A2394F"/>
    <w:rsid w:val="00A2678A"/>
    <w:rsid w:val="00A4317C"/>
    <w:rsid w:val="00A549F3"/>
    <w:rsid w:val="00A75E27"/>
    <w:rsid w:val="00AB00A6"/>
    <w:rsid w:val="00AB47D0"/>
    <w:rsid w:val="00AC3FF9"/>
    <w:rsid w:val="00AD67BE"/>
    <w:rsid w:val="00AE3C1E"/>
    <w:rsid w:val="00AF4E46"/>
    <w:rsid w:val="00B12CF9"/>
    <w:rsid w:val="00B344B2"/>
    <w:rsid w:val="00B45D45"/>
    <w:rsid w:val="00B46F46"/>
    <w:rsid w:val="00B7200A"/>
    <w:rsid w:val="00B73CF6"/>
    <w:rsid w:val="00B8021D"/>
    <w:rsid w:val="00B8116C"/>
    <w:rsid w:val="00B822D6"/>
    <w:rsid w:val="00B873B2"/>
    <w:rsid w:val="00BA1C89"/>
    <w:rsid w:val="00BB01FA"/>
    <w:rsid w:val="00BB2289"/>
    <w:rsid w:val="00BD1738"/>
    <w:rsid w:val="00BD5347"/>
    <w:rsid w:val="00BE05D4"/>
    <w:rsid w:val="00C01073"/>
    <w:rsid w:val="00C15FC7"/>
    <w:rsid w:val="00C1649B"/>
    <w:rsid w:val="00C21B47"/>
    <w:rsid w:val="00C47D81"/>
    <w:rsid w:val="00C57244"/>
    <w:rsid w:val="00C576C4"/>
    <w:rsid w:val="00C878DF"/>
    <w:rsid w:val="00C954BD"/>
    <w:rsid w:val="00CA3C37"/>
    <w:rsid w:val="00CB1E9C"/>
    <w:rsid w:val="00CB3AE5"/>
    <w:rsid w:val="00CC29A1"/>
    <w:rsid w:val="00CC7CFB"/>
    <w:rsid w:val="00CC7F64"/>
    <w:rsid w:val="00CD09E8"/>
    <w:rsid w:val="00CD1F97"/>
    <w:rsid w:val="00CE4912"/>
    <w:rsid w:val="00D026D8"/>
    <w:rsid w:val="00D03BF6"/>
    <w:rsid w:val="00D126B3"/>
    <w:rsid w:val="00D16EA0"/>
    <w:rsid w:val="00D2704B"/>
    <w:rsid w:val="00D43F8E"/>
    <w:rsid w:val="00D4634F"/>
    <w:rsid w:val="00D97A37"/>
    <w:rsid w:val="00DB0D37"/>
    <w:rsid w:val="00DB6200"/>
    <w:rsid w:val="00DB6FE9"/>
    <w:rsid w:val="00DD41CF"/>
    <w:rsid w:val="00DD6BF3"/>
    <w:rsid w:val="00DD7426"/>
    <w:rsid w:val="00DF1205"/>
    <w:rsid w:val="00E27D1F"/>
    <w:rsid w:val="00E3395B"/>
    <w:rsid w:val="00E41271"/>
    <w:rsid w:val="00E42C97"/>
    <w:rsid w:val="00E63506"/>
    <w:rsid w:val="00E7629C"/>
    <w:rsid w:val="00E91C09"/>
    <w:rsid w:val="00E94DC3"/>
    <w:rsid w:val="00E97009"/>
    <w:rsid w:val="00EC4A2D"/>
    <w:rsid w:val="00EC5B32"/>
    <w:rsid w:val="00EE235F"/>
    <w:rsid w:val="00EE4F55"/>
    <w:rsid w:val="00EF481E"/>
    <w:rsid w:val="00F111F7"/>
    <w:rsid w:val="00F12504"/>
    <w:rsid w:val="00F24CA9"/>
    <w:rsid w:val="00F31001"/>
    <w:rsid w:val="00F350EE"/>
    <w:rsid w:val="00F36183"/>
    <w:rsid w:val="00F617C8"/>
    <w:rsid w:val="00F81BCB"/>
    <w:rsid w:val="00F92D84"/>
    <w:rsid w:val="00FA6318"/>
    <w:rsid w:val="00FB23CC"/>
    <w:rsid w:val="00FC7E3A"/>
    <w:rsid w:val="00FD729C"/>
    <w:rsid w:val="010F3B4F"/>
    <w:rsid w:val="01206804"/>
    <w:rsid w:val="014C4DA3"/>
    <w:rsid w:val="014F1242"/>
    <w:rsid w:val="016E2F6B"/>
    <w:rsid w:val="017936BE"/>
    <w:rsid w:val="01D152A8"/>
    <w:rsid w:val="01DE1773"/>
    <w:rsid w:val="01E07299"/>
    <w:rsid w:val="02704AC1"/>
    <w:rsid w:val="02720839"/>
    <w:rsid w:val="027F6AB2"/>
    <w:rsid w:val="029C2994"/>
    <w:rsid w:val="02ED6112"/>
    <w:rsid w:val="02EE59E6"/>
    <w:rsid w:val="02FC0103"/>
    <w:rsid w:val="030516AD"/>
    <w:rsid w:val="031A4A2D"/>
    <w:rsid w:val="03547F3F"/>
    <w:rsid w:val="035621A5"/>
    <w:rsid w:val="038A1BB2"/>
    <w:rsid w:val="0394658D"/>
    <w:rsid w:val="03F434D0"/>
    <w:rsid w:val="042042C5"/>
    <w:rsid w:val="047A39D5"/>
    <w:rsid w:val="04926F71"/>
    <w:rsid w:val="04A647CA"/>
    <w:rsid w:val="04A722F0"/>
    <w:rsid w:val="04DF7CDC"/>
    <w:rsid w:val="04E2157A"/>
    <w:rsid w:val="050B287F"/>
    <w:rsid w:val="051536FE"/>
    <w:rsid w:val="05175378"/>
    <w:rsid w:val="052D5ED1"/>
    <w:rsid w:val="054B711F"/>
    <w:rsid w:val="054E7239"/>
    <w:rsid w:val="057448C8"/>
    <w:rsid w:val="05A86320"/>
    <w:rsid w:val="05CF1AFF"/>
    <w:rsid w:val="05D84E57"/>
    <w:rsid w:val="05EA4B8A"/>
    <w:rsid w:val="0639166E"/>
    <w:rsid w:val="06392E6C"/>
    <w:rsid w:val="063B7194"/>
    <w:rsid w:val="064029FC"/>
    <w:rsid w:val="064C75F3"/>
    <w:rsid w:val="064F49ED"/>
    <w:rsid w:val="065344DE"/>
    <w:rsid w:val="069114AA"/>
    <w:rsid w:val="06917202"/>
    <w:rsid w:val="06AC0092"/>
    <w:rsid w:val="06AE6C48"/>
    <w:rsid w:val="06E23AB3"/>
    <w:rsid w:val="06E55C44"/>
    <w:rsid w:val="06ED4932"/>
    <w:rsid w:val="071172F8"/>
    <w:rsid w:val="07155C37"/>
    <w:rsid w:val="073F1CC7"/>
    <w:rsid w:val="0764271A"/>
    <w:rsid w:val="07C338E5"/>
    <w:rsid w:val="08144141"/>
    <w:rsid w:val="08191757"/>
    <w:rsid w:val="0822060B"/>
    <w:rsid w:val="08383BC8"/>
    <w:rsid w:val="0882035E"/>
    <w:rsid w:val="08A9156C"/>
    <w:rsid w:val="08B374B6"/>
    <w:rsid w:val="08EB6C4F"/>
    <w:rsid w:val="08F5135F"/>
    <w:rsid w:val="08F94E10"/>
    <w:rsid w:val="09170FBD"/>
    <w:rsid w:val="0926237D"/>
    <w:rsid w:val="09371E95"/>
    <w:rsid w:val="09434CDD"/>
    <w:rsid w:val="09664528"/>
    <w:rsid w:val="096864F2"/>
    <w:rsid w:val="09BA2AC6"/>
    <w:rsid w:val="09DC2A3C"/>
    <w:rsid w:val="09E638BB"/>
    <w:rsid w:val="0A4C5E14"/>
    <w:rsid w:val="0A5E1A02"/>
    <w:rsid w:val="0A60541B"/>
    <w:rsid w:val="0A740EC6"/>
    <w:rsid w:val="0A917CCA"/>
    <w:rsid w:val="0A9F4195"/>
    <w:rsid w:val="0B1B7594"/>
    <w:rsid w:val="0B2621C1"/>
    <w:rsid w:val="0B3348DE"/>
    <w:rsid w:val="0B5E5DFE"/>
    <w:rsid w:val="0B705B32"/>
    <w:rsid w:val="0B7373D0"/>
    <w:rsid w:val="0B770C6E"/>
    <w:rsid w:val="0B8C3FEE"/>
    <w:rsid w:val="0B9A670B"/>
    <w:rsid w:val="0BF57DE5"/>
    <w:rsid w:val="0BFF2A12"/>
    <w:rsid w:val="0C197F77"/>
    <w:rsid w:val="0C353590"/>
    <w:rsid w:val="0C3C5A14"/>
    <w:rsid w:val="0C5E598A"/>
    <w:rsid w:val="0CAF50C5"/>
    <w:rsid w:val="0D1D677B"/>
    <w:rsid w:val="0D2564A8"/>
    <w:rsid w:val="0D3D1A44"/>
    <w:rsid w:val="0D631AE5"/>
    <w:rsid w:val="0DA6583B"/>
    <w:rsid w:val="0E3C1CFB"/>
    <w:rsid w:val="0E5928AD"/>
    <w:rsid w:val="0E74191D"/>
    <w:rsid w:val="0E884F40"/>
    <w:rsid w:val="0ED9579C"/>
    <w:rsid w:val="0F2A5FF8"/>
    <w:rsid w:val="0F515C7A"/>
    <w:rsid w:val="0F896520"/>
    <w:rsid w:val="0FAB0EE6"/>
    <w:rsid w:val="0FB73D2F"/>
    <w:rsid w:val="0FF02D9D"/>
    <w:rsid w:val="0FF07241"/>
    <w:rsid w:val="105C0433"/>
    <w:rsid w:val="10675755"/>
    <w:rsid w:val="106C2D6C"/>
    <w:rsid w:val="10781ECC"/>
    <w:rsid w:val="10B65D95"/>
    <w:rsid w:val="10DD5220"/>
    <w:rsid w:val="10E741A0"/>
    <w:rsid w:val="10FB7C4C"/>
    <w:rsid w:val="10FE773C"/>
    <w:rsid w:val="1102722C"/>
    <w:rsid w:val="11276C93"/>
    <w:rsid w:val="11292A0B"/>
    <w:rsid w:val="112F3D99"/>
    <w:rsid w:val="11360C84"/>
    <w:rsid w:val="11407D54"/>
    <w:rsid w:val="11867E5D"/>
    <w:rsid w:val="11965BC6"/>
    <w:rsid w:val="120314AE"/>
    <w:rsid w:val="12411FD6"/>
    <w:rsid w:val="124B075F"/>
    <w:rsid w:val="124B4C03"/>
    <w:rsid w:val="126D4B79"/>
    <w:rsid w:val="12C0114D"/>
    <w:rsid w:val="12C14EC5"/>
    <w:rsid w:val="12E50BB3"/>
    <w:rsid w:val="13906D71"/>
    <w:rsid w:val="13BD743A"/>
    <w:rsid w:val="13C52DC7"/>
    <w:rsid w:val="14157276"/>
    <w:rsid w:val="14353475"/>
    <w:rsid w:val="1461426A"/>
    <w:rsid w:val="14C111AC"/>
    <w:rsid w:val="14CD18FF"/>
    <w:rsid w:val="15393438"/>
    <w:rsid w:val="15417754"/>
    <w:rsid w:val="154B2D39"/>
    <w:rsid w:val="15595889"/>
    <w:rsid w:val="15671D54"/>
    <w:rsid w:val="1570660C"/>
    <w:rsid w:val="15DB004C"/>
    <w:rsid w:val="15DD2016"/>
    <w:rsid w:val="160704A8"/>
    <w:rsid w:val="16104199"/>
    <w:rsid w:val="161812A0"/>
    <w:rsid w:val="16974086"/>
    <w:rsid w:val="16B014D8"/>
    <w:rsid w:val="16CA259A"/>
    <w:rsid w:val="16EF0253"/>
    <w:rsid w:val="1703785A"/>
    <w:rsid w:val="171B1048"/>
    <w:rsid w:val="171E28E6"/>
    <w:rsid w:val="17575DF8"/>
    <w:rsid w:val="176531A5"/>
    <w:rsid w:val="17C206DC"/>
    <w:rsid w:val="17DD454F"/>
    <w:rsid w:val="180C273E"/>
    <w:rsid w:val="18283020"/>
    <w:rsid w:val="1850204D"/>
    <w:rsid w:val="185D2F9A"/>
    <w:rsid w:val="185D6FE9"/>
    <w:rsid w:val="18742FB3"/>
    <w:rsid w:val="187863BB"/>
    <w:rsid w:val="188738DC"/>
    <w:rsid w:val="18BD1C8B"/>
    <w:rsid w:val="18CB25F9"/>
    <w:rsid w:val="19404D95"/>
    <w:rsid w:val="19662322"/>
    <w:rsid w:val="19C257AA"/>
    <w:rsid w:val="1AC00EE1"/>
    <w:rsid w:val="1AC47300"/>
    <w:rsid w:val="1AE300CE"/>
    <w:rsid w:val="1AE94FB9"/>
    <w:rsid w:val="1AFD03BA"/>
    <w:rsid w:val="1B440441"/>
    <w:rsid w:val="1B5F4A2C"/>
    <w:rsid w:val="1B79458F"/>
    <w:rsid w:val="1B9A3D30"/>
    <w:rsid w:val="1BE351F3"/>
    <w:rsid w:val="1C1147C7"/>
    <w:rsid w:val="1C493F61"/>
    <w:rsid w:val="1C4F709D"/>
    <w:rsid w:val="1C784846"/>
    <w:rsid w:val="1CDA2E0B"/>
    <w:rsid w:val="1D3C3AC6"/>
    <w:rsid w:val="1D8A4831"/>
    <w:rsid w:val="1D9A07EC"/>
    <w:rsid w:val="1DAF5207"/>
    <w:rsid w:val="1DC615E1"/>
    <w:rsid w:val="1DD51824"/>
    <w:rsid w:val="1DF63C75"/>
    <w:rsid w:val="1DF919B7"/>
    <w:rsid w:val="1E1862E1"/>
    <w:rsid w:val="1E2F53D8"/>
    <w:rsid w:val="1E763007"/>
    <w:rsid w:val="1EA83E87"/>
    <w:rsid w:val="1EBB4EBE"/>
    <w:rsid w:val="1EBB6C6C"/>
    <w:rsid w:val="1F026649"/>
    <w:rsid w:val="1F617814"/>
    <w:rsid w:val="1FAD2A59"/>
    <w:rsid w:val="1FB77434"/>
    <w:rsid w:val="1FC16EE0"/>
    <w:rsid w:val="20016901"/>
    <w:rsid w:val="20054643"/>
    <w:rsid w:val="200603BB"/>
    <w:rsid w:val="201605FE"/>
    <w:rsid w:val="202645B9"/>
    <w:rsid w:val="20862B7C"/>
    <w:rsid w:val="20A37E45"/>
    <w:rsid w:val="20C22534"/>
    <w:rsid w:val="21026DD4"/>
    <w:rsid w:val="212C3E51"/>
    <w:rsid w:val="213D1BBA"/>
    <w:rsid w:val="214271D1"/>
    <w:rsid w:val="2149055F"/>
    <w:rsid w:val="21676C37"/>
    <w:rsid w:val="218E2416"/>
    <w:rsid w:val="21CB18BC"/>
    <w:rsid w:val="21D40771"/>
    <w:rsid w:val="21DA565B"/>
    <w:rsid w:val="21F229A5"/>
    <w:rsid w:val="221A1EFC"/>
    <w:rsid w:val="223C6316"/>
    <w:rsid w:val="22462CF1"/>
    <w:rsid w:val="226715E5"/>
    <w:rsid w:val="2297354C"/>
    <w:rsid w:val="22C57088"/>
    <w:rsid w:val="22D12F02"/>
    <w:rsid w:val="22EC5646"/>
    <w:rsid w:val="232C22A0"/>
    <w:rsid w:val="23305E7B"/>
    <w:rsid w:val="233F7E6C"/>
    <w:rsid w:val="234A46EA"/>
    <w:rsid w:val="234C4337"/>
    <w:rsid w:val="23737B15"/>
    <w:rsid w:val="23A3664D"/>
    <w:rsid w:val="23A93537"/>
    <w:rsid w:val="23B00D6A"/>
    <w:rsid w:val="23E80503"/>
    <w:rsid w:val="2435301D"/>
    <w:rsid w:val="244B4D99"/>
    <w:rsid w:val="24596D0B"/>
    <w:rsid w:val="247104F9"/>
    <w:rsid w:val="24816262"/>
    <w:rsid w:val="24952391"/>
    <w:rsid w:val="24A24B56"/>
    <w:rsid w:val="24A850B1"/>
    <w:rsid w:val="24E52C95"/>
    <w:rsid w:val="258917EC"/>
    <w:rsid w:val="25C24D84"/>
    <w:rsid w:val="25CA61C2"/>
    <w:rsid w:val="26190E48"/>
    <w:rsid w:val="26467763"/>
    <w:rsid w:val="265579A6"/>
    <w:rsid w:val="26751DF6"/>
    <w:rsid w:val="269A360B"/>
    <w:rsid w:val="26B26E88"/>
    <w:rsid w:val="26D22DA5"/>
    <w:rsid w:val="26E33204"/>
    <w:rsid w:val="26E66850"/>
    <w:rsid w:val="26F1147D"/>
    <w:rsid w:val="27035654"/>
    <w:rsid w:val="27257379"/>
    <w:rsid w:val="276E6F72"/>
    <w:rsid w:val="27817861"/>
    <w:rsid w:val="27826579"/>
    <w:rsid w:val="28017DE6"/>
    <w:rsid w:val="284444BF"/>
    <w:rsid w:val="284B2FCD"/>
    <w:rsid w:val="284D5440"/>
    <w:rsid w:val="28681C13"/>
    <w:rsid w:val="286F2FA1"/>
    <w:rsid w:val="289B3D96"/>
    <w:rsid w:val="29231FDE"/>
    <w:rsid w:val="29361D11"/>
    <w:rsid w:val="299E3412"/>
    <w:rsid w:val="29C966E1"/>
    <w:rsid w:val="29CC4423"/>
    <w:rsid w:val="29FF65A7"/>
    <w:rsid w:val="2A0E2346"/>
    <w:rsid w:val="2AAD6003"/>
    <w:rsid w:val="2AAE58D7"/>
    <w:rsid w:val="2AEA2DB3"/>
    <w:rsid w:val="2B277B63"/>
    <w:rsid w:val="2B3B716B"/>
    <w:rsid w:val="2BA32F62"/>
    <w:rsid w:val="2BA411B4"/>
    <w:rsid w:val="2BAC0068"/>
    <w:rsid w:val="2BD1187D"/>
    <w:rsid w:val="2BF638C9"/>
    <w:rsid w:val="2C1C51EE"/>
    <w:rsid w:val="2C581F9E"/>
    <w:rsid w:val="2CA156F3"/>
    <w:rsid w:val="2CA64AB8"/>
    <w:rsid w:val="2CA927FA"/>
    <w:rsid w:val="2D0839C4"/>
    <w:rsid w:val="2D150A2B"/>
    <w:rsid w:val="2D742E08"/>
    <w:rsid w:val="2D99461C"/>
    <w:rsid w:val="2DB94F9E"/>
    <w:rsid w:val="2DC31699"/>
    <w:rsid w:val="2DC64A8C"/>
    <w:rsid w:val="2DDB2E87"/>
    <w:rsid w:val="2E6609A2"/>
    <w:rsid w:val="2E9279E9"/>
    <w:rsid w:val="2EA66FF1"/>
    <w:rsid w:val="2EFA10EB"/>
    <w:rsid w:val="2F063F34"/>
    <w:rsid w:val="2F1228D8"/>
    <w:rsid w:val="2F503401"/>
    <w:rsid w:val="2F725125"/>
    <w:rsid w:val="2F996B56"/>
    <w:rsid w:val="2FAA4587"/>
    <w:rsid w:val="2FC457C3"/>
    <w:rsid w:val="303E14AB"/>
    <w:rsid w:val="307F7AFA"/>
    <w:rsid w:val="30D047F9"/>
    <w:rsid w:val="30D8545C"/>
    <w:rsid w:val="30F71D86"/>
    <w:rsid w:val="31140B8A"/>
    <w:rsid w:val="317258B0"/>
    <w:rsid w:val="31C205E6"/>
    <w:rsid w:val="31D620D6"/>
    <w:rsid w:val="31DE2F46"/>
    <w:rsid w:val="32230959"/>
    <w:rsid w:val="322A7F39"/>
    <w:rsid w:val="323E39E4"/>
    <w:rsid w:val="325F4087"/>
    <w:rsid w:val="327337EB"/>
    <w:rsid w:val="33072028"/>
    <w:rsid w:val="330B38C7"/>
    <w:rsid w:val="33770F5C"/>
    <w:rsid w:val="339E4F75"/>
    <w:rsid w:val="33CF0D98"/>
    <w:rsid w:val="33EC443C"/>
    <w:rsid w:val="33EF4F96"/>
    <w:rsid w:val="33F56325"/>
    <w:rsid w:val="340A0022"/>
    <w:rsid w:val="343B01DB"/>
    <w:rsid w:val="344572AC"/>
    <w:rsid w:val="344E54F9"/>
    <w:rsid w:val="34A42225"/>
    <w:rsid w:val="3509652C"/>
    <w:rsid w:val="35260E8C"/>
    <w:rsid w:val="358579E3"/>
    <w:rsid w:val="3599165E"/>
    <w:rsid w:val="3599388C"/>
    <w:rsid w:val="35AD6EB7"/>
    <w:rsid w:val="35BC359E"/>
    <w:rsid w:val="35CF32D1"/>
    <w:rsid w:val="367E6B74"/>
    <w:rsid w:val="36877708"/>
    <w:rsid w:val="369E0EF6"/>
    <w:rsid w:val="371A4A20"/>
    <w:rsid w:val="373158C6"/>
    <w:rsid w:val="376161AB"/>
    <w:rsid w:val="377F2AD5"/>
    <w:rsid w:val="37A4078E"/>
    <w:rsid w:val="37C64260"/>
    <w:rsid w:val="37DD7E02"/>
    <w:rsid w:val="38262F51"/>
    <w:rsid w:val="38367638"/>
    <w:rsid w:val="383E3DAB"/>
    <w:rsid w:val="385C4BC4"/>
    <w:rsid w:val="386F66A6"/>
    <w:rsid w:val="387316A1"/>
    <w:rsid w:val="387B14EE"/>
    <w:rsid w:val="38A8464C"/>
    <w:rsid w:val="38C904AC"/>
    <w:rsid w:val="38D534B1"/>
    <w:rsid w:val="392576AC"/>
    <w:rsid w:val="39292CF8"/>
    <w:rsid w:val="39316051"/>
    <w:rsid w:val="395D6E46"/>
    <w:rsid w:val="398521E2"/>
    <w:rsid w:val="39B90520"/>
    <w:rsid w:val="39CC250C"/>
    <w:rsid w:val="39F2758E"/>
    <w:rsid w:val="3A0D43C8"/>
    <w:rsid w:val="3A2F07E2"/>
    <w:rsid w:val="3A377697"/>
    <w:rsid w:val="3A3F654C"/>
    <w:rsid w:val="3A502507"/>
    <w:rsid w:val="3A647D60"/>
    <w:rsid w:val="3AB94550"/>
    <w:rsid w:val="3AC52EF5"/>
    <w:rsid w:val="3ACC7DDF"/>
    <w:rsid w:val="3ADB6274"/>
    <w:rsid w:val="3B497682"/>
    <w:rsid w:val="3B4B164C"/>
    <w:rsid w:val="3B5B1163"/>
    <w:rsid w:val="3B632B7A"/>
    <w:rsid w:val="3B6C3370"/>
    <w:rsid w:val="3B781D15"/>
    <w:rsid w:val="3BCD02B3"/>
    <w:rsid w:val="3BDA652C"/>
    <w:rsid w:val="3BDB471D"/>
    <w:rsid w:val="3BFF5F92"/>
    <w:rsid w:val="3C030DCB"/>
    <w:rsid w:val="3C177780"/>
    <w:rsid w:val="3C461E13"/>
    <w:rsid w:val="3C616C4D"/>
    <w:rsid w:val="3C964B49"/>
    <w:rsid w:val="3CEF6007"/>
    <w:rsid w:val="3D6B510B"/>
    <w:rsid w:val="3DD0408A"/>
    <w:rsid w:val="3DFE0BF8"/>
    <w:rsid w:val="3E0B0C1F"/>
    <w:rsid w:val="3E1C72D0"/>
    <w:rsid w:val="3E7762B4"/>
    <w:rsid w:val="3E9450B8"/>
    <w:rsid w:val="3E9A6446"/>
    <w:rsid w:val="3EBA2645"/>
    <w:rsid w:val="3EC3599D"/>
    <w:rsid w:val="3ED25BE0"/>
    <w:rsid w:val="3EEA4CD8"/>
    <w:rsid w:val="3F03223E"/>
    <w:rsid w:val="3F0C1744"/>
    <w:rsid w:val="3F1104B7"/>
    <w:rsid w:val="3F283A52"/>
    <w:rsid w:val="3F450160"/>
    <w:rsid w:val="3F67457A"/>
    <w:rsid w:val="3FA0183A"/>
    <w:rsid w:val="3FE21E53"/>
    <w:rsid w:val="3FF10195"/>
    <w:rsid w:val="401A339B"/>
    <w:rsid w:val="40B41A41"/>
    <w:rsid w:val="40BC6B48"/>
    <w:rsid w:val="40C61775"/>
    <w:rsid w:val="40D43E92"/>
    <w:rsid w:val="40DC68A2"/>
    <w:rsid w:val="40F938F8"/>
    <w:rsid w:val="40FD6DCE"/>
    <w:rsid w:val="40FE0F0E"/>
    <w:rsid w:val="40FE6E02"/>
    <w:rsid w:val="41175B2C"/>
    <w:rsid w:val="4134048C"/>
    <w:rsid w:val="415B3C6B"/>
    <w:rsid w:val="41620365"/>
    <w:rsid w:val="41831414"/>
    <w:rsid w:val="41B15F81"/>
    <w:rsid w:val="41BB0BAE"/>
    <w:rsid w:val="41CE268F"/>
    <w:rsid w:val="41D35EF7"/>
    <w:rsid w:val="422B5D33"/>
    <w:rsid w:val="424010B3"/>
    <w:rsid w:val="42426BD9"/>
    <w:rsid w:val="424B1F31"/>
    <w:rsid w:val="42727FE2"/>
    <w:rsid w:val="427C658F"/>
    <w:rsid w:val="427F7E2D"/>
    <w:rsid w:val="428E0070"/>
    <w:rsid w:val="429733C9"/>
    <w:rsid w:val="42C43A92"/>
    <w:rsid w:val="42DA5063"/>
    <w:rsid w:val="4326474D"/>
    <w:rsid w:val="43374264"/>
    <w:rsid w:val="43592C8A"/>
    <w:rsid w:val="43BD6E5F"/>
    <w:rsid w:val="43C27FD1"/>
    <w:rsid w:val="43D321DE"/>
    <w:rsid w:val="43DE0B83"/>
    <w:rsid w:val="440E76BA"/>
    <w:rsid w:val="450E7246"/>
    <w:rsid w:val="450F36EA"/>
    <w:rsid w:val="4513485D"/>
    <w:rsid w:val="45260A34"/>
    <w:rsid w:val="454F7F8B"/>
    <w:rsid w:val="455A06DD"/>
    <w:rsid w:val="45AA5236"/>
    <w:rsid w:val="45AA63B5"/>
    <w:rsid w:val="45C30031"/>
    <w:rsid w:val="45EE1552"/>
    <w:rsid w:val="45FC3543"/>
    <w:rsid w:val="46534907"/>
    <w:rsid w:val="46607F75"/>
    <w:rsid w:val="466510E8"/>
    <w:rsid w:val="466B2BA2"/>
    <w:rsid w:val="469367E2"/>
    <w:rsid w:val="46C202E8"/>
    <w:rsid w:val="46E2098A"/>
    <w:rsid w:val="46F801AE"/>
    <w:rsid w:val="47094169"/>
    <w:rsid w:val="471B02DF"/>
    <w:rsid w:val="471D47E8"/>
    <w:rsid w:val="47651CF5"/>
    <w:rsid w:val="47EB386F"/>
    <w:rsid w:val="48382F58"/>
    <w:rsid w:val="484027D0"/>
    <w:rsid w:val="484511D1"/>
    <w:rsid w:val="48861F15"/>
    <w:rsid w:val="48A44149"/>
    <w:rsid w:val="48C20A74"/>
    <w:rsid w:val="495518E8"/>
    <w:rsid w:val="49AA1C33"/>
    <w:rsid w:val="49CD147E"/>
    <w:rsid w:val="4A2C3BC6"/>
    <w:rsid w:val="4A835FE1"/>
    <w:rsid w:val="4AA91EEB"/>
    <w:rsid w:val="4AC07235"/>
    <w:rsid w:val="4AD60806"/>
    <w:rsid w:val="4AFB201B"/>
    <w:rsid w:val="4B313C8F"/>
    <w:rsid w:val="4B4E2A92"/>
    <w:rsid w:val="4B645E12"/>
    <w:rsid w:val="4B9E7576"/>
    <w:rsid w:val="4BC93EC7"/>
    <w:rsid w:val="4BCE772F"/>
    <w:rsid w:val="4BD765E4"/>
    <w:rsid w:val="4BE807F1"/>
    <w:rsid w:val="4BF453E8"/>
    <w:rsid w:val="4C2A0E0A"/>
    <w:rsid w:val="4C3103EA"/>
    <w:rsid w:val="4C5B7215"/>
    <w:rsid w:val="4C746DC9"/>
    <w:rsid w:val="4C787DC7"/>
    <w:rsid w:val="4D292E6F"/>
    <w:rsid w:val="4D333CEE"/>
    <w:rsid w:val="4D3F08E5"/>
    <w:rsid w:val="4D50664E"/>
    <w:rsid w:val="4D6B16DA"/>
    <w:rsid w:val="4DBD7A5B"/>
    <w:rsid w:val="4DBE3B23"/>
    <w:rsid w:val="4DDC25D7"/>
    <w:rsid w:val="4DFA480C"/>
    <w:rsid w:val="4E197388"/>
    <w:rsid w:val="4E1C0C26"/>
    <w:rsid w:val="4E2B70BB"/>
    <w:rsid w:val="4E824F2D"/>
    <w:rsid w:val="4F1162B1"/>
    <w:rsid w:val="4F974A08"/>
    <w:rsid w:val="4F9D7B44"/>
    <w:rsid w:val="4FC11A85"/>
    <w:rsid w:val="4FD07F1A"/>
    <w:rsid w:val="50025BF9"/>
    <w:rsid w:val="501A1195"/>
    <w:rsid w:val="50371D47"/>
    <w:rsid w:val="50454464"/>
    <w:rsid w:val="505428F9"/>
    <w:rsid w:val="509E3B74"/>
    <w:rsid w:val="50B67110"/>
    <w:rsid w:val="51034CB7"/>
    <w:rsid w:val="510F4A72"/>
    <w:rsid w:val="51167BAE"/>
    <w:rsid w:val="513D3601"/>
    <w:rsid w:val="515523A5"/>
    <w:rsid w:val="518E1E3B"/>
    <w:rsid w:val="519E7D80"/>
    <w:rsid w:val="51C70EA9"/>
    <w:rsid w:val="51C92E73"/>
    <w:rsid w:val="52554706"/>
    <w:rsid w:val="526D7CA2"/>
    <w:rsid w:val="52923406"/>
    <w:rsid w:val="52943481"/>
    <w:rsid w:val="52C35B14"/>
    <w:rsid w:val="52C4530F"/>
    <w:rsid w:val="530E3C91"/>
    <w:rsid w:val="5313318D"/>
    <w:rsid w:val="533B38FC"/>
    <w:rsid w:val="533F163E"/>
    <w:rsid w:val="53856213"/>
    <w:rsid w:val="53894668"/>
    <w:rsid w:val="542E16B3"/>
    <w:rsid w:val="547277F2"/>
    <w:rsid w:val="54DA7145"/>
    <w:rsid w:val="54DF2BA9"/>
    <w:rsid w:val="54F14BBA"/>
    <w:rsid w:val="55313209"/>
    <w:rsid w:val="553E5926"/>
    <w:rsid w:val="558D0954"/>
    <w:rsid w:val="55C53951"/>
    <w:rsid w:val="55FA184D"/>
    <w:rsid w:val="564725B8"/>
    <w:rsid w:val="564E7DEA"/>
    <w:rsid w:val="565151E5"/>
    <w:rsid w:val="565534F6"/>
    <w:rsid w:val="569243C9"/>
    <w:rsid w:val="56A82359"/>
    <w:rsid w:val="572B1EDA"/>
    <w:rsid w:val="573945F7"/>
    <w:rsid w:val="57430FD1"/>
    <w:rsid w:val="57482A8C"/>
    <w:rsid w:val="574F3E1A"/>
    <w:rsid w:val="57825F9E"/>
    <w:rsid w:val="57A51C8C"/>
    <w:rsid w:val="57AA72A2"/>
    <w:rsid w:val="57B123DF"/>
    <w:rsid w:val="57D60097"/>
    <w:rsid w:val="57E97DCB"/>
    <w:rsid w:val="58020E8D"/>
    <w:rsid w:val="580A7D41"/>
    <w:rsid w:val="581666E6"/>
    <w:rsid w:val="583D3C73"/>
    <w:rsid w:val="583F79EB"/>
    <w:rsid w:val="587C0C3F"/>
    <w:rsid w:val="5886386C"/>
    <w:rsid w:val="58A106A5"/>
    <w:rsid w:val="58AB32D2"/>
    <w:rsid w:val="591C1ADA"/>
    <w:rsid w:val="595079D6"/>
    <w:rsid w:val="59527BF2"/>
    <w:rsid w:val="59626927"/>
    <w:rsid w:val="59916541"/>
    <w:rsid w:val="59BD150F"/>
    <w:rsid w:val="59C7413C"/>
    <w:rsid w:val="5A1124DF"/>
    <w:rsid w:val="5A2A6479"/>
    <w:rsid w:val="5A623658"/>
    <w:rsid w:val="5A8B5169"/>
    <w:rsid w:val="5A92474A"/>
    <w:rsid w:val="5AB02E22"/>
    <w:rsid w:val="5AC10B8B"/>
    <w:rsid w:val="5B231846"/>
    <w:rsid w:val="5B3E042E"/>
    <w:rsid w:val="5B6836FC"/>
    <w:rsid w:val="5B7025B1"/>
    <w:rsid w:val="5B7E6A7C"/>
    <w:rsid w:val="5BC16969"/>
    <w:rsid w:val="5BD963A8"/>
    <w:rsid w:val="5BEC60DC"/>
    <w:rsid w:val="5BF925A6"/>
    <w:rsid w:val="5C2A09B2"/>
    <w:rsid w:val="5C5617A7"/>
    <w:rsid w:val="5C62499A"/>
    <w:rsid w:val="5C7861DA"/>
    <w:rsid w:val="5C78796F"/>
    <w:rsid w:val="5C966047"/>
    <w:rsid w:val="5CF3088C"/>
    <w:rsid w:val="5CF80AB0"/>
    <w:rsid w:val="5D3A4C25"/>
    <w:rsid w:val="5D6D6DA8"/>
    <w:rsid w:val="5DCD3CEB"/>
    <w:rsid w:val="5DE16A4A"/>
    <w:rsid w:val="5E084D23"/>
    <w:rsid w:val="5E0F1B60"/>
    <w:rsid w:val="5E2002BE"/>
    <w:rsid w:val="5E371C16"/>
    <w:rsid w:val="5E4F035E"/>
    <w:rsid w:val="5E5672B3"/>
    <w:rsid w:val="5E8E5228"/>
    <w:rsid w:val="5ED66BCF"/>
    <w:rsid w:val="5F092B01"/>
    <w:rsid w:val="5F1020E1"/>
    <w:rsid w:val="5F180F96"/>
    <w:rsid w:val="5F465B03"/>
    <w:rsid w:val="5F903222"/>
    <w:rsid w:val="5FCA04E2"/>
    <w:rsid w:val="5FFB68ED"/>
    <w:rsid w:val="60003F04"/>
    <w:rsid w:val="60031C46"/>
    <w:rsid w:val="603B13E0"/>
    <w:rsid w:val="605D3104"/>
    <w:rsid w:val="60BD3BA3"/>
    <w:rsid w:val="612E4AA0"/>
    <w:rsid w:val="615F2EAC"/>
    <w:rsid w:val="618172C6"/>
    <w:rsid w:val="61A66D2D"/>
    <w:rsid w:val="61D64494"/>
    <w:rsid w:val="61E433B1"/>
    <w:rsid w:val="61FC694D"/>
    <w:rsid w:val="62031A89"/>
    <w:rsid w:val="62612C54"/>
    <w:rsid w:val="62682234"/>
    <w:rsid w:val="626C587C"/>
    <w:rsid w:val="62C54F90"/>
    <w:rsid w:val="62E775FD"/>
    <w:rsid w:val="62F13FD7"/>
    <w:rsid w:val="633B5253"/>
    <w:rsid w:val="63A86D8C"/>
    <w:rsid w:val="63B03E93"/>
    <w:rsid w:val="63B868A3"/>
    <w:rsid w:val="64124205"/>
    <w:rsid w:val="641F1CE1"/>
    <w:rsid w:val="64A31301"/>
    <w:rsid w:val="64A476B3"/>
    <w:rsid w:val="64E42046"/>
    <w:rsid w:val="652E506F"/>
    <w:rsid w:val="65834193"/>
    <w:rsid w:val="65AB2B63"/>
    <w:rsid w:val="65D31C24"/>
    <w:rsid w:val="65E87914"/>
    <w:rsid w:val="6625601F"/>
    <w:rsid w:val="663D12E2"/>
    <w:rsid w:val="66BB0B84"/>
    <w:rsid w:val="671309C0"/>
    <w:rsid w:val="67144738"/>
    <w:rsid w:val="67206C39"/>
    <w:rsid w:val="67955879"/>
    <w:rsid w:val="679A4C3E"/>
    <w:rsid w:val="679B2764"/>
    <w:rsid w:val="67B83316"/>
    <w:rsid w:val="67EC1211"/>
    <w:rsid w:val="68060525"/>
    <w:rsid w:val="689C2C37"/>
    <w:rsid w:val="68CB7079"/>
    <w:rsid w:val="69344C1E"/>
    <w:rsid w:val="695E7EED"/>
    <w:rsid w:val="69F10D61"/>
    <w:rsid w:val="6AC63F9C"/>
    <w:rsid w:val="6AF04982"/>
    <w:rsid w:val="6B0D5727"/>
    <w:rsid w:val="6B3E213B"/>
    <w:rsid w:val="6B453112"/>
    <w:rsid w:val="6B56531F"/>
    <w:rsid w:val="6BA53BB1"/>
    <w:rsid w:val="6BCF0C2E"/>
    <w:rsid w:val="6C380652"/>
    <w:rsid w:val="6C635F46"/>
    <w:rsid w:val="6CE60925"/>
    <w:rsid w:val="6D25144D"/>
    <w:rsid w:val="6D284A9A"/>
    <w:rsid w:val="6D5C4743"/>
    <w:rsid w:val="6D8223FC"/>
    <w:rsid w:val="6D885538"/>
    <w:rsid w:val="6DA85746"/>
    <w:rsid w:val="6E0E1EE1"/>
    <w:rsid w:val="6E386F5E"/>
    <w:rsid w:val="6E6040CE"/>
    <w:rsid w:val="6E75060E"/>
    <w:rsid w:val="6EAB5982"/>
    <w:rsid w:val="6EE42C42"/>
    <w:rsid w:val="6F062BB9"/>
    <w:rsid w:val="6FD1766A"/>
    <w:rsid w:val="6FD35191"/>
    <w:rsid w:val="70074E3A"/>
    <w:rsid w:val="701D465E"/>
    <w:rsid w:val="703D6AAE"/>
    <w:rsid w:val="70710506"/>
    <w:rsid w:val="70DF7B65"/>
    <w:rsid w:val="70F51137"/>
    <w:rsid w:val="70F74EAF"/>
    <w:rsid w:val="70F84783"/>
    <w:rsid w:val="71241A1C"/>
    <w:rsid w:val="714B6FA9"/>
    <w:rsid w:val="71632544"/>
    <w:rsid w:val="7189187F"/>
    <w:rsid w:val="71AD1673"/>
    <w:rsid w:val="71C31235"/>
    <w:rsid w:val="71DC40A5"/>
    <w:rsid w:val="72402885"/>
    <w:rsid w:val="72402F1C"/>
    <w:rsid w:val="7251758C"/>
    <w:rsid w:val="72760055"/>
    <w:rsid w:val="727A7B45"/>
    <w:rsid w:val="729C5939"/>
    <w:rsid w:val="72BF7C4E"/>
    <w:rsid w:val="72D354A8"/>
    <w:rsid w:val="72F0605A"/>
    <w:rsid w:val="73866EC6"/>
    <w:rsid w:val="73C31078"/>
    <w:rsid w:val="73D625E4"/>
    <w:rsid w:val="74235FBB"/>
    <w:rsid w:val="74341F76"/>
    <w:rsid w:val="74634609"/>
    <w:rsid w:val="74AF5AA0"/>
    <w:rsid w:val="74B35591"/>
    <w:rsid w:val="74FF07D6"/>
    <w:rsid w:val="751161C5"/>
    <w:rsid w:val="752913AF"/>
    <w:rsid w:val="75383CE8"/>
    <w:rsid w:val="75491A51"/>
    <w:rsid w:val="758700E4"/>
    <w:rsid w:val="75C64E50"/>
    <w:rsid w:val="75D03F20"/>
    <w:rsid w:val="76206C56"/>
    <w:rsid w:val="76283D5C"/>
    <w:rsid w:val="7630676D"/>
    <w:rsid w:val="764C4D2D"/>
    <w:rsid w:val="767F6929"/>
    <w:rsid w:val="769A6A08"/>
    <w:rsid w:val="769D3E02"/>
    <w:rsid w:val="76A50F09"/>
    <w:rsid w:val="76D57A40"/>
    <w:rsid w:val="76E23F0B"/>
    <w:rsid w:val="775A6197"/>
    <w:rsid w:val="775C3CBE"/>
    <w:rsid w:val="778E4093"/>
    <w:rsid w:val="779571D0"/>
    <w:rsid w:val="77B5517C"/>
    <w:rsid w:val="77EB3293"/>
    <w:rsid w:val="78462278"/>
    <w:rsid w:val="785F7A1B"/>
    <w:rsid w:val="786F7A21"/>
    <w:rsid w:val="787943FB"/>
    <w:rsid w:val="78A3680A"/>
    <w:rsid w:val="78B96EEE"/>
    <w:rsid w:val="78C47DF1"/>
    <w:rsid w:val="78F85C68"/>
    <w:rsid w:val="792F71B0"/>
    <w:rsid w:val="795D3D1D"/>
    <w:rsid w:val="79752E15"/>
    <w:rsid w:val="79917118"/>
    <w:rsid w:val="79B76500"/>
    <w:rsid w:val="7A0D129F"/>
    <w:rsid w:val="7A150154"/>
    <w:rsid w:val="7A163075"/>
    <w:rsid w:val="7A1C14E2"/>
    <w:rsid w:val="7A262361"/>
    <w:rsid w:val="7A2860D9"/>
    <w:rsid w:val="7A601D17"/>
    <w:rsid w:val="7AB86788"/>
    <w:rsid w:val="7ABD4654"/>
    <w:rsid w:val="7AC34054"/>
    <w:rsid w:val="7AF1471D"/>
    <w:rsid w:val="7AF34939"/>
    <w:rsid w:val="7AFD7566"/>
    <w:rsid w:val="7B533629"/>
    <w:rsid w:val="7B6C3E11"/>
    <w:rsid w:val="7B900EAA"/>
    <w:rsid w:val="7BAC4AE8"/>
    <w:rsid w:val="7BC65066"/>
    <w:rsid w:val="7BF00E78"/>
    <w:rsid w:val="7C232FFC"/>
    <w:rsid w:val="7C38282E"/>
    <w:rsid w:val="7C457AF6"/>
    <w:rsid w:val="7C611A45"/>
    <w:rsid w:val="7C8B4EB8"/>
    <w:rsid w:val="7D0A7D18"/>
    <w:rsid w:val="7D0F17D2"/>
    <w:rsid w:val="7D1172F8"/>
    <w:rsid w:val="7D1C7A4B"/>
    <w:rsid w:val="7D32101D"/>
    <w:rsid w:val="7D733B0F"/>
    <w:rsid w:val="7DA97531"/>
    <w:rsid w:val="7E725B75"/>
    <w:rsid w:val="7E8F4979"/>
    <w:rsid w:val="7E933D3D"/>
    <w:rsid w:val="7ECC0F40"/>
    <w:rsid w:val="7EDE76AE"/>
    <w:rsid w:val="7F4F235A"/>
    <w:rsid w:val="7F954211"/>
    <w:rsid w:val="7FB11D82"/>
    <w:rsid w:val="7FF07699"/>
    <w:rsid w:val="7FFF168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76" w:lineRule="auto"/>
      <w:outlineLvl w:val="0"/>
    </w:pPr>
    <w:rPr>
      <w:b/>
      <w:kern w:val="44"/>
      <w:sz w:val="44"/>
    </w:rPr>
  </w:style>
  <w:style w:type="paragraph" w:styleId="3">
    <w:name w:val="heading 2"/>
    <w:basedOn w:val="1"/>
    <w:next w:val="1"/>
    <w:link w:val="17"/>
    <w:qFormat/>
    <w:uiPriority w:val="0"/>
    <w:pPr>
      <w:keepNext/>
      <w:keepLines/>
      <w:tabs>
        <w:tab w:val="left" w:pos="720"/>
      </w:tabs>
      <w:spacing w:before="260" w:after="260" w:line="416" w:lineRule="auto"/>
      <w:ind w:left="567" w:hanging="567"/>
      <w:outlineLvl w:val="1"/>
    </w:pPr>
    <w:rPr>
      <w:rFonts w:ascii="Arial" w:hAnsi="Arial" w:eastAsia="黑体"/>
      <w:b/>
      <w:bCs/>
      <w:sz w:val="32"/>
      <w:szCs w:val="32"/>
    </w:rPr>
  </w:style>
  <w:style w:type="character" w:default="1" w:styleId="13">
    <w:name w:val="Default Paragraph Font"/>
    <w:autoRedefine/>
    <w:unhideWhenUsed/>
    <w:qFormat/>
    <w:uiPriority w:val="1"/>
  </w:style>
  <w:style w:type="table" w:default="1" w:styleId="11">
    <w:name w:val="Normal Table"/>
    <w:autoRedefine/>
    <w:unhideWhenUsed/>
    <w:qFormat/>
    <w:uiPriority w:val="99"/>
    <w:tblPr>
      <w:tblCellMar>
        <w:top w:w="0" w:type="dxa"/>
        <w:left w:w="108" w:type="dxa"/>
        <w:bottom w:w="0" w:type="dxa"/>
        <w:right w:w="108" w:type="dxa"/>
      </w:tblCellMar>
    </w:tblPr>
  </w:style>
  <w:style w:type="paragraph" w:styleId="4">
    <w:name w:val="Body Text"/>
    <w:basedOn w:val="1"/>
    <w:link w:val="18"/>
    <w:autoRedefine/>
    <w:qFormat/>
    <w:uiPriority w:val="0"/>
    <w:pPr>
      <w:widowControl/>
      <w:spacing w:before="100" w:beforeAutospacing="1" w:after="100" w:afterAutospacing="1"/>
      <w:jc w:val="left"/>
    </w:pPr>
    <w:rPr>
      <w:rFonts w:ascii="宋体" w:hAnsi="宋体" w:cs="宋体"/>
      <w:kern w:val="0"/>
      <w:sz w:val="24"/>
    </w:rPr>
  </w:style>
  <w:style w:type="paragraph" w:styleId="5">
    <w:name w:val="Plain Text"/>
    <w:basedOn w:val="1"/>
    <w:link w:val="19"/>
    <w:autoRedefine/>
    <w:qFormat/>
    <w:uiPriority w:val="0"/>
    <w:rPr>
      <w:rFonts w:ascii="宋体" w:hAnsi="Courier New" w:cs="Courier New"/>
      <w:szCs w:val="21"/>
    </w:rPr>
  </w:style>
  <w:style w:type="paragraph" w:styleId="6">
    <w:name w:val="Date"/>
    <w:basedOn w:val="1"/>
    <w:next w:val="1"/>
    <w:link w:val="20"/>
    <w:autoRedefine/>
    <w:unhideWhenUsed/>
    <w:qFormat/>
    <w:uiPriority w:val="99"/>
    <w:pPr>
      <w:ind w:left="100" w:leftChars="2500"/>
    </w:pPr>
  </w:style>
  <w:style w:type="paragraph" w:styleId="7">
    <w:name w:val="Balloon Text"/>
    <w:basedOn w:val="1"/>
    <w:link w:val="21"/>
    <w:autoRedefine/>
    <w:unhideWhenUsed/>
    <w:qFormat/>
    <w:uiPriority w:val="0"/>
    <w:rPr>
      <w:sz w:val="18"/>
      <w:szCs w:val="18"/>
    </w:rPr>
  </w:style>
  <w:style w:type="paragraph" w:styleId="8">
    <w:name w:val="footer"/>
    <w:basedOn w:val="1"/>
    <w:link w:val="22"/>
    <w:autoRedefine/>
    <w:unhideWhenUsed/>
    <w:qFormat/>
    <w:uiPriority w:val="0"/>
    <w:pPr>
      <w:tabs>
        <w:tab w:val="center" w:pos="4153"/>
        <w:tab w:val="right" w:pos="8306"/>
      </w:tabs>
      <w:snapToGrid w:val="0"/>
      <w:jc w:val="left"/>
    </w:pPr>
    <w:rPr>
      <w:sz w:val="18"/>
      <w:szCs w:val="18"/>
    </w:rPr>
  </w:style>
  <w:style w:type="paragraph" w:styleId="9">
    <w:name w:val="header"/>
    <w:basedOn w:val="1"/>
    <w:link w:val="23"/>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semiHidden/>
    <w:unhideWhenUsed/>
    <w:qFormat/>
    <w:uiPriority w:val="99"/>
    <w:rPr>
      <w:sz w:val="24"/>
    </w:rPr>
  </w:style>
  <w:style w:type="table" w:styleId="12">
    <w:name w:val="Table Grid"/>
    <w:basedOn w:val="11"/>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autoRedefine/>
    <w:qFormat/>
    <w:uiPriority w:val="0"/>
  </w:style>
  <w:style w:type="character" w:styleId="15">
    <w:name w:val="Hyperlink"/>
    <w:autoRedefine/>
    <w:unhideWhenUsed/>
    <w:qFormat/>
    <w:uiPriority w:val="99"/>
    <w:rPr>
      <w:color w:val="0563C1"/>
      <w:u w:val="single"/>
    </w:rPr>
  </w:style>
  <w:style w:type="character" w:customStyle="1" w:styleId="16">
    <w:name w:val="标题 1 字符"/>
    <w:link w:val="2"/>
    <w:autoRedefine/>
    <w:qFormat/>
    <w:uiPriority w:val="0"/>
    <w:rPr>
      <w:rFonts w:ascii="Times New Roman" w:hAnsi="Times New Roman"/>
      <w:b/>
      <w:kern w:val="44"/>
      <w:sz w:val="44"/>
      <w:szCs w:val="24"/>
    </w:rPr>
  </w:style>
  <w:style w:type="character" w:customStyle="1" w:styleId="17">
    <w:name w:val="标题 2 字符"/>
    <w:link w:val="3"/>
    <w:autoRedefine/>
    <w:qFormat/>
    <w:uiPriority w:val="0"/>
    <w:rPr>
      <w:rFonts w:ascii="Arial" w:hAnsi="Arial" w:eastAsia="黑体"/>
      <w:b/>
      <w:bCs/>
      <w:kern w:val="2"/>
      <w:sz w:val="32"/>
      <w:szCs w:val="32"/>
    </w:rPr>
  </w:style>
  <w:style w:type="character" w:customStyle="1" w:styleId="18">
    <w:name w:val="正文文本 字符"/>
    <w:link w:val="4"/>
    <w:autoRedefine/>
    <w:qFormat/>
    <w:uiPriority w:val="0"/>
    <w:rPr>
      <w:rFonts w:ascii="宋体" w:hAnsi="宋体" w:cs="宋体"/>
      <w:sz w:val="24"/>
      <w:szCs w:val="24"/>
    </w:rPr>
  </w:style>
  <w:style w:type="character" w:customStyle="1" w:styleId="19">
    <w:name w:val="纯文本 字符"/>
    <w:link w:val="5"/>
    <w:autoRedefine/>
    <w:qFormat/>
    <w:uiPriority w:val="0"/>
    <w:rPr>
      <w:rFonts w:ascii="宋体" w:hAnsi="Courier New" w:eastAsia="宋体" w:cs="Courier New"/>
      <w:szCs w:val="21"/>
    </w:rPr>
  </w:style>
  <w:style w:type="character" w:customStyle="1" w:styleId="20">
    <w:name w:val="日期 字符"/>
    <w:link w:val="6"/>
    <w:autoRedefine/>
    <w:semiHidden/>
    <w:qFormat/>
    <w:uiPriority w:val="99"/>
    <w:rPr>
      <w:rFonts w:ascii="Times New Roman" w:hAnsi="Times New Roman" w:eastAsia="宋体" w:cs="Times New Roman"/>
      <w:szCs w:val="24"/>
    </w:rPr>
  </w:style>
  <w:style w:type="character" w:customStyle="1" w:styleId="21">
    <w:name w:val="批注框文本 字符"/>
    <w:link w:val="7"/>
    <w:autoRedefine/>
    <w:semiHidden/>
    <w:qFormat/>
    <w:uiPriority w:val="99"/>
    <w:rPr>
      <w:rFonts w:ascii="Times New Roman" w:hAnsi="Times New Roman"/>
      <w:kern w:val="2"/>
      <w:sz w:val="18"/>
      <w:szCs w:val="18"/>
    </w:rPr>
  </w:style>
  <w:style w:type="character" w:customStyle="1" w:styleId="22">
    <w:name w:val="页脚 字符"/>
    <w:link w:val="8"/>
    <w:autoRedefine/>
    <w:qFormat/>
    <w:uiPriority w:val="0"/>
    <w:rPr>
      <w:sz w:val="18"/>
      <w:szCs w:val="18"/>
    </w:rPr>
  </w:style>
  <w:style w:type="character" w:customStyle="1" w:styleId="23">
    <w:name w:val="页眉 字符"/>
    <w:link w:val="9"/>
    <w:autoRedefine/>
    <w:qFormat/>
    <w:uiPriority w:val="0"/>
    <w:rPr>
      <w:sz w:val="18"/>
      <w:szCs w:val="18"/>
    </w:rPr>
  </w:style>
  <w:style w:type="character" w:customStyle="1" w:styleId="24">
    <w:name w:val="chanpin1"/>
    <w:autoRedefine/>
    <w:qFormat/>
    <w:uiPriority w:val="0"/>
    <w:rPr>
      <w:color w:val="333333"/>
      <w:sz w:val="21"/>
      <w:szCs w:val="21"/>
    </w:rPr>
  </w:style>
  <w:style w:type="character" w:customStyle="1" w:styleId="25">
    <w:name w:val="font11"/>
    <w:autoRedefine/>
    <w:qFormat/>
    <w:uiPriority w:val="0"/>
    <w:rPr>
      <w:rFonts w:hint="eastAsia" w:ascii="宋体" w:hAnsi="宋体" w:eastAsia="宋体" w:cs="宋体"/>
      <w:b/>
      <w:color w:val="FF0000"/>
      <w:sz w:val="20"/>
      <w:szCs w:val="20"/>
      <w:u w:val="none"/>
    </w:rPr>
  </w:style>
  <w:style w:type="character" w:customStyle="1" w:styleId="26">
    <w:name w:val="font01"/>
    <w:autoRedefine/>
    <w:qFormat/>
    <w:uiPriority w:val="0"/>
    <w:rPr>
      <w:rFonts w:hint="eastAsia" w:ascii="宋体" w:hAnsi="宋体" w:eastAsia="宋体" w:cs="宋体"/>
      <w:b/>
      <w:color w:val="000000"/>
      <w:sz w:val="20"/>
      <w:szCs w:val="20"/>
      <w:u w:val="none"/>
    </w:rPr>
  </w:style>
  <w:style w:type="character" w:customStyle="1" w:styleId="27">
    <w:name w:val="Table Text Char"/>
    <w:link w:val="28"/>
    <w:autoRedefine/>
    <w:qFormat/>
    <w:uiPriority w:val="0"/>
    <w:rPr>
      <w:rFonts w:ascii="Arial" w:hAnsi="Arial"/>
      <w:kern w:val="2"/>
      <w:sz w:val="18"/>
    </w:rPr>
  </w:style>
  <w:style w:type="paragraph" w:customStyle="1" w:styleId="28">
    <w:name w:val="Table Text"/>
    <w:link w:val="27"/>
    <w:autoRedefine/>
    <w:qFormat/>
    <w:uiPriority w:val="0"/>
    <w:pPr>
      <w:snapToGrid w:val="0"/>
      <w:spacing w:before="80" w:after="80"/>
    </w:pPr>
    <w:rPr>
      <w:rFonts w:ascii="Arial" w:hAnsi="Arial" w:eastAsia="宋体" w:cs="Times New Roman"/>
      <w:kern w:val="2"/>
      <w:sz w:val="18"/>
      <w:lang w:val="en-US" w:eastAsia="zh-CN" w:bidi="ar-SA"/>
    </w:rPr>
  </w:style>
  <w:style w:type="character" w:customStyle="1" w:styleId="29">
    <w:name w:val="crowed11"/>
    <w:autoRedefine/>
    <w:qFormat/>
    <w:uiPriority w:val="0"/>
    <w:rPr>
      <w:rFonts w:hint="default" w:ascii="_x000B__x000C_" w:hAnsi="_x000B__x000C_"/>
      <w:sz w:val="24"/>
    </w:rPr>
  </w:style>
  <w:style w:type="character" w:customStyle="1" w:styleId="30">
    <w:name w:val="font21"/>
    <w:autoRedefine/>
    <w:qFormat/>
    <w:uiPriority w:val="0"/>
    <w:rPr>
      <w:rFonts w:hint="eastAsia" w:ascii="宋体" w:hAnsi="宋体" w:eastAsia="宋体" w:cs="宋体"/>
      <w:b/>
      <w:color w:val="000000"/>
      <w:sz w:val="20"/>
      <w:szCs w:val="20"/>
      <w:u w:val="none"/>
    </w:rPr>
  </w:style>
  <w:style w:type="character" w:customStyle="1" w:styleId="31">
    <w:name w:val="font31"/>
    <w:autoRedefine/>
    <w:qFormat/>
    <w:uiPriority w:val="0"/>
    <w:rPr>
      <w:rFonts w:hint="eastAsia" w:ascii="宋体" w:hAnsi="宋体" w:eastAsia="宋体" w:cs="宋体"/>
      <w:color w:val="000000"/>
      <w:sz w:val="20"/>
      <w:szCs w:val="20"/>
      <w:u w:val="none"/>
    </w:rPr>
  </w:style>
  <w:style w:type="paragraph" w:customStyle="1" w:styleId="32">
    <w:name w:val=" Char Char Char1 Char Char Char Char"/>
    <w:basedOn w:val="1"/>
    <w:autoRedefine/>
    <w:qFormat/>
    <w:uiPriority w:val="0"/>
  </w:style>
  <w:style w:type="paragraph" w:customStyle="1" w:styleId="33">
    <w:name w:val="1"/>
    <w:basedOn w:val="1"/>
    <w:next w:val="5"/>
    <w:autoRedefine/>
    <w:qFormat/>
    <w:uiPriority w:val="0"/>
    <w:rPr>
      <w:rFonts w:ascii="宋体" w:hAnsi="Courier New"/>
      <w:szCs w:val="20"/>
    </w:rPr>
  </w:style>
  <w:style w:type="paragraph" w:customStyle="1" w:styleId="34">
    <w:name w:val="列出段落1"/>
    <w:basedOn w:val="1"/>
    <w:autoRedefine/>
    <w:qFormat/>
    <w:uiPriority w:val="99"/>
    <w:pPr>
      <w:ind w:firstLine="420" w:firstLineChars="200"/>
    </w:pPr>
  </w:style>
  <w:style w:type="paragraph" w:customStyle="1" w:styleId="35">
    <w:name w:val="样式 黑体 小四 行距: 固定值 22 磅"/>
    <w:basedOn w:val="1"/>
    <w:autoRedefine/>
    <w:qFormat/>
    <w:uiPriority w:val="0"/>
    <w:pPr>
      <w:spacing w:before="156" w:beforeLines="50" w:after="156" w:afterLines="50" w:line="440" w:lineRule="exact"/>
      <w:ind w:firstLine="504" w:firstLineChars="210"/>
      <w:outlineLvl w:val="0"/>
    </w:pPr>
    <w:rPr>
      <w:rFonts w:ascii="黑体" w:eastAsia="黑体" w:cs="宋体"/>
      <w:sz w:val="24"/>
      <w:szCs w:val="20"/>
    </w:rPr>
  </w:style>
  <w:style w:type="character" w:customStyle="1" w:styleId="36">
    <w:name w:val="font51"/>
    <w:basedOn w:val="13"/>
    <w:qFormat/>
    <w:uiPriority w:val="0"/>
    <w:rPr>
      <w:rFonts w:hint="eastAsia" w:ascii="宋体" w:hAnsi="宋体" w:eastAsia="宋体" w:cs="宋体"/>
      <w:color w:val="000000"/>
      <w:sz w:val="21"/>
      <w:szCs w:val="21"/>
      <w:u w:val="none"/>
    </w:rPr>
  </w:style>
  <w:style w:type="character" w:customStyle="1" w:styleId="37">
    <w:name w:val="font61"/>
    <w:basedOn w:val="13"/>
    <w:qFormat/>
    <w:uiPriority w:val="0"/>
    <w:rPr>
      <w:rFonts w:hint="default" w:ascii="Times New Roman" w:hAnsi="Times New Roman" w:cs="Times New Roman"/>
      <w:color w:val="000000"/>
      <w:sz w:val="21"/>
      <w:szCs w:val="21"/>
      <w:u w:val="none"/>
    </w:rPr>
  </w:style>
  <w:style w:type="character" w:customStyle="1" w:styleId="38">
    <w:name w:val="font41"/>
    <w:basedOn w:val="1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3134</Words>
  <Characters>3483</Characters>
  <Lines>12</Lines>
  <Paragraphs>3</Paragraphs>
  <TotalTime>1</TotalTime>
  <ScaleCrop>false</ScaleCrop>
  <LinksUpToDate>false</LinksUpToDate>
  <CharactersWithSpaces>4327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2019-02-25T07:29:00Z</dcterms:created>
  <dc:creator>Windows 用户</dc:creator>
  <cp:lastModifiedBy>嬲嫐</cp:lastModifiedBy>
  <cp:lastPrinted>2025-03-12T05:10:00Z</cp:lastPrinted>
  <dcterms:modified xsi:type="dcterms:W3CDTF">2025-05-28T06:32:27Z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B9DE4384A4894D78BC97788794F75016_13</vt:lpwstr>
  </property>
  <property fmtid="{D5CDD505-2E9C-101B-9397-08002B2CF9AE}" pid="4" name="KSOTemplateDocerSaveRecord">
    <vt:lpwstr>eyJoZGlkIjoiYWJiZDVjN2ZkYmJjOTg2ZGYxZjM1OTcyMWM5NjRkNDkiLCJ1c2VySWQiOiI2NDQyNDM4NDUifQ==</vt:lpwstr>
  </property>
</Properties>
</file>