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8"/>
          <w:rFonts w:hint="default" w:asciiTheme="minorEastAsia" w:hAnsiTheme="minorEastAsia" w:eastAsiaTheme="minorEastAsia"/>
          <w:b/>
          <w:sz w:val="28"/>
          <w:szCs w:val="24"/>
          <w:lang w:val="en-US" w:eastAsia="zh-CN"/>
        </w:rPr>
      </w:pPr>
      <w:r>
        <w:rPr>
          <w:rStyle w:val="8"/>
          <w:rFonts w:hint="eastAsia" w:asciiTheme="minorEastAsia" w:hAnsiTheme="minorEastAsia"/>
          <w:b/>
          <w:sz w:val="28"/>
          <w:szCs w:val="24"/>
          <w:lang w:val="en-US" w:eastAsia="zh-CN"/>
        </w:rPr>
        <w:t>UPS电源系统</w:t>
      </w:r>
      <w:r>
        <w:rPr>
          <w:rStyle w:val="8"/>
          <w:rFonts w:asciiTheme="minorEastAsia" w:hAnsiTheme="minorEastAsia"/>
          <w:b/>
          <w:sz w:val="28"/>
          <w:szCs w:val="24"/>
        </w:rPr>
        <w:t>磷酸铁锂电池组</w:t>
      </w:r>
      <w:r>
        <w:rPr>
          <w:rStyle w:val="8"/>
          <w:rFonts w:hint="eastAsia" w:asciiTheme="minorEastAsia" w:hAnsiTheme="minorEastAsia"/>
          <w:b/>
          <w:sz w:val="28"/>
          <w:szCs w:val="24"/>
          <w:lang w:val="en-US" w:eastAsia="zh-CN"/>
        </w:rPr>
        <w:t>技术要求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Style w:val="8"/>
          <w:rFonts w:asciiTheme="minorEastAsia" w:hAnsiTheme="minorEastAsia"/>
          <w:kern w:val="0"/>
          <w:sz w:val="24"/>
          <w:szCs w:val="24"/>
          <w:highlight w:val="none"/>
        </w:rPr>
      </w:pPr>
      <w:r>
        <w:rPr>
          <w:rStyle w:val="8"/>
          <w:rFonts w:hint="eastAsia" w:ascii="微软雅黑" w:hAnsi="微软雅黑" w:eastAsia="微软雅黑" w:cs="微软雅黑"/>
          <w:kern w:val="0"/>
          <w:sz w:val="24"/>
          <w:szCs w:val="24"/>
        </w:rPr>
        <w:t>★</w:t>
      </w:r>
      <w:r>
        <w:rPr>
          <w:rStyle w:val="8"/>
          <w:rFonts w:asciiTheme="minorEastAsia" w:hAnsiTheme="minorEastAsia"/>
          <w:kern w:val="0"/>
          <w:sz w:val="24"/>
          <w:szCs w:val="24"/>
          <w:highlight w:val="none"/>
        </w:rPr>
        <w:t>工业用磷酸铁锂电池组必须通过国家承认的第三方权威检测机构（中国电力科学研究院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</w:rPr>
        <w:t>、许昌开普实验室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  <w:lang w:val="en-US" w:eastAsia="zh-CN"/>
        </w:rPr>
        <w:t>等</w:t>
      </w:r>
      <w:r>
        <w:rPr>
          <w:rStyle w:val="8"/>
          <w:rFonts w:asciiTheme="minorEastAsia" w:hAnsiTheme="minorEastAsia"/>
          <w:kern w:val="0"/>
          <w:sz w:val="24"/>
          <w:szCs w:val="24"/>
          <w:highlight w:val="none"/>
        </w:rPr>
        <w:t>）的型式试验检测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</w:rPr>
        <w:t>及电池模块的安全性测试</w:t>
      </w:r>
      <w:r>
        <w:rPr>
          <w:rStyle w:val="8"/>
          <w:rFonts w:asciiTheme="minorEastAsia" w:hAnsiTheme="minorEastAsia"/>
          <w:kern w:val="0"/>
          <w:sz w:val="24"/>
          <w:szCs w:val="24"/>
          <w:highlight w:val="none"/>
        </w:rPr>
        <w:t>，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</w:rPr>
        <w:t>检测电池组要求电压等级不低于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  <w:lang w:val="en-US" w:eastAsia="zh-CN"/>
        </w:rPr>
        <w:t>192</w:t>
      </w:r>
      <w:r>
        <w:rPr>
          <w:rStyle w:val="8"/>
          <w:rFonts w:asciiTheme="minorEastAsia" w:hAnsiTheme="minorEastAsia"/>
          <w:kern w:val="0"/>
          <w:sz w:val="24"/>
          <w:szCs w:val="24"/>
          <w:highlight w:val="none"/>
        </w:rPr>
        <w:t>V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</w:rPr>
        <w:t>，检测电池组容量不低于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  <w:lang w:val="en-US" w:eastAsia="zh-CN"/>
        </w:rPr>
        <w:t>5</w:t>
      </w:r>
      <w:r>
        <w:rPr>
          <w:rStyle w:val="8"/>
          <w:rFonts w:asciiTheme="minorEastAsia" w:hAnsiTheme="minorEastAsia"/>
          <w:kern w:val="0"/>
          <w:sz w:val="24"/>
          <w:szCs w:val="24"/>
          <w:highlight w:val="none"/>
        </w:rPr>
        <w:t>0A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</w:rPr>
        <w:t>h，</w:t>
      </w:r>
      <w:r>
        <w:rPr>
          <w:rStyle w:val="8"/>
          <w:rFonts w:asciiTheme="minorEastAsia" w:hAnsiTheme="minorEastAsia"/>
          <w:kern w:val="0"/>
          <w:sz w:val="24"/>
          <w:szCs w:val="24"/>
          <w:highlight w:val="none"/>
        </w:rPr>
        <w:t>检测内容须包含放电性能、电磁兼容性能、保护和告警等方面的测试结果。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</w:rPr>
        <w:t>报告上至少应带有CNAS 、CMA、ilac- MRA三个印章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  <w:lang w:eastAsia="zh-CN"/>
        </w:rPr>
        <w:t>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Style w:val="8"/>
          <w:rFonts w:asciiTheme="minorEastAsia" w:hAnsiTheme="minorEastAsia"/>
          <w:kern w:val="0"/>
          <w:sz w:val="24"/>
          <w:szCs w:val="24"/>
          <w:highlight w:val="none"/>
        </w:rPr>
      </w:pPr>
      <w:r>
        <w:rPr>
          <w:rStyle w:val="8"/>
          <w:rFonts w:hint="eastAsia" w:ascii="微软雅黑" w:hAnsi="微软雅黑" w:eastAsia="微软雅黑" w:cs="微软雅黑"/>
          <w:kern w:val="0"/>
          <w:sz w:val="24"/>
          <w:szCs w:val="24"/>
          <w:highlight w:val="none"/>
        </w:rPr>
        <w:t>★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锂电池厂商必须具有锂电池组管理系统开发、设计的技术实力，须提供发明专利等证明材料；提供锂电池厂商证明材料。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Style w:val="8"/>
          <w:rFonts w:asciiTheme="minorEastAsia" w:hAnsiTheme="minorEastAsia"/>
          <w:kern w:val="0"/>
          <w:sz w:val="24"/>
          <w:szCs w:val="24"/>
          <w:highlight w:val="none"/>
        </w:rPr>
      </w:pPr>
      <w:r>
        <w:rPr>
          <w:rStyle w:val="8"/>
          <w:rFonts w:hint="eastAsia" w:ascii="微软雅黑" w:hAnsi="微软雅黑" w:eastAsia="微软雅黑" w:cs="微软雅黑"/>
          <w:kern w:val="0"/>
          <w:sz w:val="24"/>
          <w:szCs w:val="24"/>
          <w:highlight w:val="none"/>
        </w:rPr>
        <w:t>★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锂</w:t>
      </w:r>
      <w:r>
        <w:rPr>
          <w:rFonts w:hint="eastAsia" w:asciiTheme="minorEastAsia" w:hAnsiTheme="minorEastAsia"/>
          <w:sz w:val="24"/>
          <w:szCs w:val="24"/>
          <w:highlight w:val="none"/>
        </w:rPr>
        <w:t>电池管理系统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必须必须通过国家承认的第三方权威检测机构的型式试验检测，检测依据《GB/T34131-2023电力储能用电池管理系统》，报告上至少应带有CNAS 、CMA、ilac- MRA三个印章。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Style w:val="8"/>
          <w:rFonts w:asciiTheme="minorEastAsia" w:hAnsiTheme="minorEastAsia"/>
          <w:kern w:val="0"/>
          <w:sz w:val="24"/>
          <w:szCs w:val="24"/>
        </w:rPr>
      </w:pPr>
      <w:r>
        <w:rPr>
          <w:rStyle w:val="8"/>
          <w:rFonts w:hint="eastAsia" w:ascii="微软雅黑" w:hAnsi="微软雅黑" w:eastAsia="微软雅黑" w:cs="微软雅黑"/>
          <w:kern w:val="0"/>
          <w:sz w:val="24"/>
          <w:szCs w:val="24"/>
          <w:highlight w:val="none"/>
        </w:rPr>
        <w:t>★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</w:rPr>
        <w:t>投标产品必须具有工业企业后备电源（UPS电源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  <w:lang w:val="en-US" w:eastAsia="zh-CN"/>
        </w:rPr>
        <w:t>/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highlight w:val="none"/>
        </w:rPr>
        <w:t>EP</w:t>
      </w:r>
      <w:r>
        <w:rPr>
          <w:rStyle w:val="8"/>
          <w:rFonts w:hint="eastAsia" w:asciiTheme="minorEastAsia" w:hAnsiTheme="minorEastAsia"/>
          <w:kern w:val="0"/>
          <w:sz w:val="24"/>
          <w:szCs w:val="24"/>
        </w:rPr>
        <w:t>S电源）配套使用五年以上的不低于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lang w:val="en-US" w:eastAsia="zh-CN"/>
        </w:rPr>
        <w:t>10</w:t>
      </w:r>
      <w:r>
        <w:rPr>
          <w:rStyle w:val="8"/>
          <w:rFonts w:hint="eastAsia" w:asciiTheme="minorEastAsia" w:hAnsiTheme="minorEastAsia"/>
          <w:kern w:val="0"/>
          <w:sz w:val="24"/>
          <w:szCs w:val="24"/>
        </w:rPr>
        <w:t>套的供货业绩（提供供货合同、运行报告及增值税专用发票，原件备查），需方可根据需要对供方产品运行情况进行抽查。由于使用环境和电气要求不同，电动汽车、通信电源等配套的其它供货业绩不予接纳。磷酸铁锂以外的其它锂材料电池业绩不予接纳。</w:t>
      </w: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Style w:val="8"/>
          <w:rFonts w:asciiTheme="minorEastAsia" w:hAnsiTheme="minorEastAsia"/>
          <w:kern w:val="0"/>
          <w:sz w:val="24"/>
          <w:szCs w:val="24"/>
        </w:rPr>
      </w:pPr>
      <w:r>
        <w:rPr>
          <w:rStyle w:val="8"/>
          <w:rFonts w:hint="eastAsia" w:ascii="微软雅黑" w:hAnsi="微软雅黑" w:eastAsia="微软雅黑" w:cs="微软雅黑"/>
          <w:kern w:val="0"/>
          <w:sz w:val="24"/>
          <w:szCs w:val="24"/>
          <w:highlight w:val="none"/>
        </w:rPr>
        <w:t>★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lang w:eastAsia="zh-CN"/>
        </w:rPr>
        <w:t>电池组电源供电仪表所有控制系统需达到</w:t>
      </w:r>
      <w:r>
        <w:rPr>
          <w:rStyle w:val="8"/>
          <w:rFonts w:hint="eastAsia" w:asciiTheme="minorEastAsia" w:hAnsiTheme="minorEastAsia"/>
          <w:kern w:val="0"/>
          <w:sz w:val="24"/>
          <w:szCs w:val="24"/>
          <w:lang w:val="en-US" w:eastAsia="zh-CN"/>
        </w:rPr>
        <w:t>3.5小时或以上，电池组需要具备可查看信息功能，如：电源最高电压、最低电压、平均电压、单体电压、环境温度、电池温度、内阻、储存信息、电池组模块信息、电池欠压、回路状态、电池放电、报警信息等参数。</w:t>
      </w:r>
      <w:bookmarkStart w:id="0" w:name="_GoBack"/>
      <w:bookmarkEnd w:id="0"/>
    </w:p>
    <w:p>
      <w:pPr>
        <w:pStyle w:val="9"/>
        <w:numPr>
          <w:ilvl w:val="0"/>
          <w:numId w:val="0"/>
        </w:numPr>
        <w:spacing w:line="360" w:lineRule="auto"/>
        <w:ind w:leftChars="0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AC7817"/>
    <w:multiLevelType w:val="multilevel"/>
    <w:tmpl w:val="1DAC7817"/>
    <w:lvl w:ilvl="0" w:tentative="0">
      <w:start w:val="1"/>
      <w:numFmt w:val="decimal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VhZmQ0YTlmMGE1ODlmMmZiYzViNDk5ODhlZGYxYTgifQ=="/>
  </w:docVars>
  <w:rsids>
    <w:rsidRoot w:val="00223812"/>
    <w:rsid w:val="00035CAF"/>
    <w:rsid w:val="00042FB5"/>
    <w:rsid w:val="00092087"/>
    <w:rsid w:val="000B214C"/>
    <w:rsid w:val="00115051"/>
    <w:rsid w:val="00122970"/>
    <w:rsid w:val="001F429D"/>
    <w:rsid w:val="0020701E"/>
    <w:rsid w:val="00223812"/>
    <w:rsid w:val="002418BC"/>
    <w:rsid w:val="002D0CB8"/>
    <w:rsid w:val="002E2462"/>
    <w:rsid w:val="003101B1"/>
    <w:rsid w:val="00351725"/>
    <w:rsid w:val="00351799"/>
    <w:rsid w:val="00352D8C"/>
    <w:rsid w:val="003742B6"/>
    <w:rsid w:val="003B4894"/>
    <w:rsid w:val="0043295B"/>
    <w:rsid w:val="004D4607"/>
    <w:rsid w:val="004F0054"/>
    <w:rsid w:val="005707C8"/>
    <w:rsid w:val="005723D0"/>
    <w:rsid w:val="00590A5E"/>
    <w:rsid w:val="005E5D85"/>
    <w:rsid w:val="006227A9"/>
    <w:rsid w:val="00652B77"/>
    <w:rsid w:val="00715570"/>
    <w:rsid w:val="00723C3B"/>
    <w:rsid w:val="00762D26"/>
    <w:rsid w:val="007E38CD"/>
    <w:rsid w:val="00815F02"/>
    <w:rsid w:val="00825AB9"/>
    <w:rsid w:val="00852441"/>
    <w:rsid w:val="008D45A0"/>
    <w:rsid w:val="00907423"/>
    <w:rsid w:val="00943D59"/>
    <w:rsid w:val="00943F2A"/>
    <w:rsid w:val="009514C5"/>
    <w:rsid w:val="00976E94"/>
    <w:rsid w:val="009B5724"/>
    <w:rsid w:val="009E41C8"/>
    <w:rsid w:val="00A648F8"/>
    <w:rsid w:val="00B0280C"/>
    <w:rsid w:val="00B3272B"/>
    <w:rsid w:val="00C61821"/>
    <w:rsid w:val="00C67281"/>
    <w:rsid w:val="00C94D33"/>
    <w:rsid w:val="00CC5269"/>
    <w:rsid w:val="00CE628A"/>
    <w:rsid w:val="00D11D45"/>
    <w:rsid w:val="00D46B9D"/>
    <w:rsid w:val="00D92D39"/>
    <w:rsid w:val="00DF26BC"/>
    <w:rsid w:val="00EB26C0"/>
    <w:rsid w:val="00ED723B"/>
    <w:rsid w:val="00EF4AB5"/>
    <w:rsid w:val="024B7ABE"/>
    <w:rsid w:val="025E00EB"/>
    <w:rsid w:val="2EEB2052"/>
    <w:rsid w:val="30A367EF"/>
    <w:rsid w:val="41681999"/>
    <w:rsid w:val="50B461A5"/>
    <w:rsid w:val="7AFD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5"/>
    <w:basedOn w:val="1"/>
    <w:next w:val="1"/>
    <w:link w:val="11"/>
    <w:qFormat/>
    <w:uiPriority w:val="0"/>
    <w:pPr>
      <w:widowControl/>
      <w:tabs>
        <w:tab w:val="left" w:pos="1021"/>
      </w:tabs>
      <w:spacing w:before="240" w:after="60"/>
      <w:ind w:left="1021" w:hanging="1021"/>
      <w:jc w:val="left"/>
      <w:outlineLvl w:val="4"/>
    </w:pPr>
    <w:rPr>
      <w:rFonts w:ascii="Times New Roman" w:hAnsi="Times New Roman" w:eastAsia="宋体" w:cs="Times New Roman"/>
      <w:kern w:val="0"/>
      <w:sz w:val="22"/>
      <w:szCs w:val="2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autoRedefine/>
    <w:qFormat/>
    <w:uiPriority w:val="1"/>
    <w:pPr>
      <w:spacing w:before="117"/>
      <w:ind w:left="105"/>
      <w:jc w:val="left"/>
    </w:pPr>
    <w:rPr>
      <w:rFonts w:ascii="宋体" w:hAnsi="宋体" w:eastAsia="宋体"/>
      <w:kern w:val="0"/>
      <w:szCs w:val="21"/>
      <w:lang w:eastAsia="en-US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NormalCharacter"/>
    <w:autoRedefine/>
    <w:semiHidden/>
    <w:qFormat/>
    <w:uiPriority w:val="0"/>
  </w:style>
  <w:style w:type="paragraph" w:styleId="9">
    <w:name w:val="List Paragraph"/>
    <w:basedOn w:val="1"/>
    <w:link w:val="17"/>
    <w:autoRedefine/>
    <w:qFormat/>
    <w:uiPriority w:val="34"/>
    <w:pPr>
      <w:ind w:firstLine="420" w:firstLineChars="200"/>
    </w:pPr>
  </w:style>
  <w:style w:type="paragraph" w:customStyle="1" w:styleId="10">
    <w:name w:val="BodyText"/>
    <w:basedOn w:val="1"/>
    <w:autoRedefine/>
    <w:qFormat/>
    <w:uiPriority w:val="0"/>
    <w:pPr>
      <w:widowControl/>
      <w:spacing w:line="360" w:lineRule="auto"/>
      <w:ind w:right="277" w:rightChars="132"/>
      <w:textAlignment w:val="baseline"/>
    </w:pPr>
    <w:rPr>
      <w:rFonts w:ascii="仿宋_GB2312" w:hAnsi="Times New Roman" w:eastAsia="仿宋_GB2312" w:cs="Times New Roman"/>
      <w:kern w:val="0"/>
      <w:sz w:val="28"/>
      <w:szCs w:val="20"/>
    </w:rPr>
  </w:style>
  <w:style w:type="character" w:customStyle="1" w:styleId="11">
    <w:name w:val="标题 5 字符"/>
    <w:basedOn w:val="7"/>
    <w:link w:val="2"/>
    <w:autoRedefine/>
    <w:qFormat/>
    <w:uiPriority w:val="0"/>
    <w:rPr>
      <w:rFonts w:ascii="Times New Roman" w:hAnsi="Times New Roman" w:eastAsia="宋体" w:cs="Times New Roman"/>
      <w:kern w:val="0"/>
      <w:sz w:val="22"/>
      <w:szCs w:val="26"/>
    </w:rPr>
  </w:style>
  <w:style w:type="character" w:customStyle="1" w:styleId="12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4">
    <w:name w:val="正文文本 字符"/>
    <w:basedOn w:val="7"/>
    <w:link w:val="3"/>
    <w:autoRedefine/>
    <w:qFormat/>
    <w:uiPriority w:val="1"/>
    <w:rPr>
      <w:rFonts w:ascii="宋体" w:hAnsi="宋体" w:eastAsia="宋体"/>
      <w:kern w:val="0"/>
      <w:szCs w:val="21"/>
      <w:lang w:eastAsia="en-US"/>
    </w:rPr>
  </w:style>
  <w:style w:type="table" w:customStyle="1" w:styleId="15">
    <w:name w:val="Table Normal"/>
    <w:autoRedefine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Table Paragraph"/>
    <w:basedOn w:val="1"/>
    <w:autoRedefine/>
    <w:qFormat/>
    <w:uiPriority w:val="1"/>
    <w:pPr>
      <w:jc w:val="left"/>
    </w:pPr>
    <w:rPr>
      <w:kern w:val="0"/>
      <w:sz w:val="22"/>
      <w:lang w:eastAsia="en-US"/>
    </w:rPr>
  </w:style>
  <w:style w:type="character" w:customStyle="1" w:styleId="17">
    <w:name w:val="列表段落 字符"/>
    <w:link w:val="9"/>
    <w:autoRedefine/>
    <w:qFormat/>
    <w:uiPriority w:val="34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443</Words>
  <Characters>492</Characters>
  <Lines>24</Lines>
  <Paragraphs>6</Paragraphs>
  <TotalTime>9</TotalTime>
  <ScaleCrop>false</ScaleCrop>
  <LinksUpToDate>false</LinksUpToDate>
  <CharactersWithSpaces>496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2023-05-29T02:50:00Z</dcterms:created>
  <dc:creator>庞 静</dc:creator>
  <cp:lastModifiedBy>兵心依旧</cp:lastModifiedBy>
  <dcterms:modified xsi:type="dcterms:W3CDTF">2024-05-23T04:51:45Z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FE5B2F47D64E44FF8607B8B883E6CF78_12</vt:lpwstr>
  </property>
</Properties>
</file>