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黑猫环保-（刚填防渗膜项目和废气系统室内部分项目招标代理公司项目）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pPr>
        <w:pStyle w:val="2"/>
        <w:keepNext w:val="0"/>
        <w:keepLines w:val="0"/>
        <w:widowControl/>
        <w:shd w:val="clear" w:color="auto" w:fill="FFFFFF"/>
        <w:bidi/>
        <w:spacing w:before="0" w:after="0"/>
        <w:ind w:left="0" w:right="0"/>
        <w:jc w:val="left"/>
        <w:rPr>
          <w:rFonts w:ascii="黑体" w:hAnsi="宋体" w:eastAsia="黑体" w:cs="宋体"/>
          <w:bCs/>
          <w:color w:val="000000"/>
          <w:kern w:val="0"/>
          <w:sz w:val="36"/>
          <w:szCs w:val="36"/>
        </w:rPr>
      </w:pPr>
    </w:p>
    <w:p>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景德镇市危险废物综合处置中心项目刚填防渗膜项目和废气系统室内部分项目招标代理公司项目）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pPr>
        <w:widowControl/>
        <w:spacing w:before="156" w:beforeLines="50" w:line="480" w:lineRule="exact"/>
        <w:jc w:val="left"/>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color w:val="000000"/>
          <w:kern w:val="0"/>
          <w:sz w:val="24"/>
          <w:u w:val="single"/>
          <w:lang w:val="en-US" w:eastAsia="zh-CN"/>
        </w:rPr>
        <w:t>刚填防渗膜项目和废气系统室内部分项目招标代理公司项目</w:t>
      </w:r>
    </w:p>
    <w:p>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40513012</w:t>
      </w:r>
    </w:p>
    <w:p>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0"/>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156"/>
        <w:gridCol w:w="1121"/>
        <w:gridCol w:w="77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36" w:type="dxa"/>
            <w:noWrap w:val="0"/>
            <w:vAlign w:val="center"/>
          </w:tcPr>
          <w:p>
            <w:pPr>
              <w:jc w:val="center"/>
              <w:rPr>
                <w:sz w:val="24"/>
              </w:rPr>
            </w:pPr>
            <w:r>
              <w:rPr>
                <w:rFonts w:hint="eastAsia"/>
                <w:sz w:val="24"/>
              </w:rPr>
              <w:t>序号</w:t>
            </w:r>
          </w:p>
        </w:tc>
        <w:tc>
          <w:tcPr>
            <w:tcW w:w="4156" w:type="dxa"/>
            <w:noWrap w:val="0"/>
            <w:vAlign w:val="center"/>
          </w:tcPr>
          <w:p>
            <w:pPr>
              <w:jc w:val="center"/>
              <w:rPr>
                <w:sz w:val="24"/>
              </w:rPr>
            </w:pPr>
            <w:r>
              <w:rPr>
                <w:rFonts w:hint="eastAsia"/>
                <w:sz w:val="24"/>
              </w:rPr>
              <w:t>名称</w:t>
            </w:r>
          </w:p>
        </w:tc>
        <w:tc>
          <w:tcPr>
            <w:tcW w:w="1121" w:type="dxa"/>
            <w:noWrap w:val="0"/>
            <w:vAlign w:val="center"/>
          </w:tcPr>
          <w:p>
            <w:pPr>
              <w:jc w:val="center"/>
              <w:rPr>
                <w:sz w:val="24"/>
              </w:rPr>
            </w:pPr>
            <w:r>
              <w:rPr>
                <w:rFonts w:hint="eastAsia"/>
                <w:sz w:val="24"/>
              </w:rPr>
              <w:t>单位</w:t>
            </w:r>
          </w:p>
        </w:tc>
        <w:tc>
          <w:tcPr>
            <w:tcW w:w="775" w:type="dxa"/>
            <w:noWrap w:val="0"/>
            <w:vAlign w:val="center"/>
          </w:tcPr>
          <w:p>
            <w:pPr>
              <w:jc w:val="center"/>
              <w:rPr>
                <w:sz w:val="24"/>
              </w:rPr>
            </w:pPr>
            <w:r>
              <w:rPr>
                <w:rFonts w:hint="eastAsia"/>
                <w:sz w:val="24"/>
              </w:rPr>
              <w:t>数量</w:t>
            </w:r>
          </w:p>
        </w:tc>
        <w:tc>
          <w:tcPr>
            <w:tcW w:w="1253" w:type="dxa"/>
            <w:noWrap w:val="0"/>
            <w:vAlign w:val="center"/>
          </w:tcPr>
          <w:p>
            <w:pPr>
              <w:jc w:val="center"/>
              <w:rPr>
                <w:rFonts w:hint="eastAsia" w:eastAsia="宋体"/>
                <w:sz w:val="24"/>
                <w:lang w:val="en-US" w:eastAsia="zh-CN"/>
              </w:rPr>
            </w:pPr>
            <w:r>
              <w:rPr>
                <w:rFonts w:hint="eastAsia"/>
                <w:sz w:val="24"/>
                <w:lang w:val="en-US" w:eastAsia="zh-CN"/>
              </w:rPr>
              <w:t>最高控制价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36" w:type="dxa"/>
            <w:noWrap w:val="0"/>
            <w:vAlign w:val="center"/>
          </w:tcPr>
          <w:p>
            <w:pPr>
              <w:jc w:val="center"/>
              <w:rPr>
                <w:rFonts w:hint="eastAsia" w:eastAsia="宋体"/>
                <w:sz w:val="24"/>
                <w:lang w:val="en-US" w:eastAsia="zh-CN"/>
              </w:rPr>
            </w:pPr>
            <w:r>
              <w:rPr>
                <w:rFonts w:hint="eastAsia"/>
                <w:sz w:val="24"/>
                <w:lang w:val="en-US" w:eastAsia="zh-CN"/>
              </w:rPr>
              <w:t>1</w:t>
            </w:r>
          </w:p>
        </w:tc>
        <w:tc>
          <w:tcPr>
            <w:tcW w:w="4156" w:type="dxa"/>
            <w:noWrap w:val="0"/>
            <w:vAlign w:val="center"/>
          </w:tcPr>
          <w:p>
            <w:pPr>
              <w:jc w:val="center"/>
              <w:rPr>
                <w:rFonts w:hint="default"/>
                <w:sz w:val="24"/>
                <w:lang w:val="en-US"/>
              </w:rPr>
            </w:pPr>
            <w:r>
              <w:rPr>
                <w:rFonts w:hint="eastAsia" w:ascii="Tahoma" w:hAnsi="Tahoma" w:cs="Tahoma"/>
                <w:color w:val="000000"/>
                <w:kern w:val="0"/>
                <w:sz w:val="24"/>
                <w:u w:val="single"/>
                <w:lang w:val="en-US" w:eastAsia="zh-CN"/>
              </w:rPr>
              <w:t xml:space="preserve">刚填防渗膜项目招标代理公司项目 </w:t>
            </w:r>
          </w:p>
        </w:tc>
        <w:tc>
          <w:tcPr>
            <w:tcW w:w="1121" w:type="dxa"/>
            <w:noWrap w:val="0"/>
            <w:vAlign w:val="center"/>
          </w:tcPr>
          <w:p>
            <w:pPr>
              <w:jc w:val="center"/>
              <w:rPr>
                <w:rFonts w:hint="eastAsia" w:eastAsia="宋体"/>
                <w:sz w:val="24"/>
                <w:lang w:val="en-US" w:eastAsia="zh-CN"/>
              </w:rPr>
            </w:pPr>
            <w:r>
              <w:rPr>
                <w:rFonts w:hint="eastAsia"/>
                <w:sz w:val="24"/>
                <w:lang w:val="en-US" w:eastAsia="zh-CN"/>
              </w:rPr>
              <w:t>项</w:t>
            </w:r>
          </w:p>
        </w:tc>
        <w:tc>
          <w:tcPr>
            <w:tcW w:w="775" w:type="dxa"/>
            <w:noWrap w:val="0"/>
            <w:vAlign w:val="center"/>
          </w:tcPr>
          <w:p>
            <w:pPr>
              <w:jc w:val="center"/>
              <w:rPr>
                <w:rFonts w:hint="eastAsia" w:eastAsia="宋体"/>
                <w:sz w:val="24"/>
                <w:lang w:val="en-US" w:eastAsia="zh-CN"/>
              </w:rPr>
            </w:pPr>
            <w:r>
              <w:rPr>
                <w:rFonts w:hint="eastAsia"/>
                <w:sz w:val="24"/>
                <w:lang w:val="en-US" w:eastAsia="zh-CN"/>
              </w:rPr>
              <w:t>1</w:t>
            </w:r>
          </w:p>
        </w:tc>
        <w:tc>
          <w:tcPr>
            <w:tcW w:w="1253" w:type="dxa"/>
            <w:noWrap w:val="0"/>
            <w:vAlign w:val="center"/>
          </w:tcPr>
          <w:p>
            <w:pPr>
              <w:jc w:val="center"/>
              <w:rPr>
                <w:rFonts w:hint="default"/>
                <w:sz w:val="24"/>
                <w:lang w:val="en-US" w:eastAsia="zh-CN"/>
              </w:rPr>
            </w:pPr>
            <w:r>
              <w:rPr>
                <w:rFonts w:hint="eastAsia"/>
                <w:sz w:val="24"/>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36" w:type="dxa"/>
            <w:noWrap w:val="0"/>
            <w:vAlign w:val="center"/>
          </w:tcPr>
          <w:p>
            <w:pPr>
              <w:jc w:val="center"/>
              <w:rPr>
                <w:rFonts w:hint="default"/>
                <w:sz w:val="24"/>
                <w:lang w:val="en-US" w:eastAsia="zh-CN"/>
              </w:rPr>
            </w:pPr>
            <w:r>
              <w:rPr>
                <w:rFonts w:hint="eastAsia"/>
                <w:sz w:val="24"/>
                <w:lang w:val="en-US" w:eastAsia="zh-CN"/>
              </w:rPr>
              <w:t>2</w:t>
            </w:r>
          </w:p>
        </w:tc>
        <w:tc>
          <w:tcPr>
            <w:tcW w:w="4156" w:type="dxa"/>
            <w:noWrap w:val="0"/>
            <w:vAlign w:val="center"/>
          </w:tcPr>
          <w:p>
            <w:pPr>
              <w:jc w:val="center"/>
              <w:rPr>
                <w:rFonts w:hint="eastAsia" w:ascii="Tahoma" w:hAnsi="Tahoma" w:cs="Tahoma"/>
                <w:color w:val="000000"/>
                <w:kern w:val="0"/>
                <w:sz w:val="24"/>
                <w:u w:val="single"/>
                <w:lang w:val="en-US" w:eastAsia="zh-CN"/>
              </w:rPr>
            </w:pPr>
            <w:r>
              <w:rPr>
                <w:rFonts w:hint="eastAsia" w:ascii="宋体" w:hAnsi="宋体" w:cs="宋体"/>
                <w:b w:val="0"/>
                <w:bCs/>
                <w:color w:val="000000"/>
                <w:kern w:val="0"/>
                <w:sz w:val="24"/>
                <w:u w:val="single"/>
                <w:lang w:val="en-US" w:eastAsia="zh-CN"/>
              </w:rPr>
              <w:t>废气系统室内部分项目招标代理公司项目</w:t>
            </w:r>
          </w:p>
        </w:tc>
        <w:tc>
          <w:tcPr>
            <w:tcW w:w="1121" w:type="dxa"/>
            <w:noWrap w:val="0"/>
            <w:vAlign w:val="center"/>
          </w:tcPr>
          <w:p>
            <w:pPr>
              <w:jc w:val="center"/>
              <w:rPr>
                <w:rFonts w:hint="default"/>
                <w:sz w:val="24"/>
                <w:lang w:val="en-US" w:eastAsia="zh-CN"/>
              </w:rPr>
            </w:pPr>
            <w:r>
              <w:rPr>
                <w:rFonts w:hint="eastAsia"/>
                <w:sz w:val="24"/>
                <w:lang w:val="en-US" w:eastAsia="zh-CN"/>
              </w:rPr>
              <w:t>项</w:t>
            </w:r>
          </w:p>
        </w:tc>
        <w:tc>
          <w:tcPr>
            <w:tcW w:w="775" w:type="dxa"/>
            <w:noWrap w:val="0"/>
            <w:vAlign w:val="center"/>
          </w:tcPr>
          <w:p>
            <w:pPr>
              <w:jc w:val="center"/>
              <w:rPr>
                <w:rFonts w:hint="default"/>
                <w:sz w:val="24"/>
                <w:lang w:val="en-US" w:eastAsia="zh-CN"/>
              </w:rPr>
            </w:pPr>
            <w:r>
              <w:rPr>
                <w:rFonts w:hint="eastAsia"/>
                <w:sz w:val="24"/>
                <w:lang w:val="en-US" w:eastAsia="zh-CN"/>
              </w:rPr>
              <w:t>1</w:t>
            </w:r>
          </w:p>
        </w:tc>
        <w:tc>
          <w:tcPr>
            <w:tcW w:w="1253" w:type="dxa"/>
            <w:noWrap w:val="0"/>
            <w:vAlign w:val="center"/>
          </w:tcPr>
          <w:p>
            <w:pPr>
              <w:jc w:val="center"/>
              <w:rPr>
                <w:rFonts w:hint="default"/>
                <w:sz w:val="24"/>
                <w:lang w:val="en-US" w:eastAsia="zh-CN"/>
              </w:rPr>
            </w:pPr>
            <w:r>
              <w:rPr>
                <w:rFonts w:hint="eastAsia"/>
                <w:sz w:val="24"/>
                <w:lang w:val="en-US" w:eastAsia="zh-CN"/>
              </w:rPr>
              <w:t>36000</w:t>
            </w:r>
          </w:p>
        </w:tc>
      </w:tr>
    </w:tbl>
    <w:p>
      <w:pPr>
        <w:widowControl/>
        <w:spacing w:before="75" w:after="75" w:line="400" w:lineRule="exact"/>
        <w:jc w:val="left"/>
        <w:rPr>
          <w:rFonts w:cs="宋体"/>
          <w:b/>
          <w:color w:val="000000"/>
          <w:kern w:val="0"/>
          <w:sz w:val="24"/>
        </w:rPr>
      </w:pPr>
    </w:p>
    <w:p>
      <w:pPr>
        <w:widowControl/>
        <w:spacing w:line="480" w:lineRule="exact"/>
        <w:ind w:left="1265" w:hanging="1446" w:hangingChars="60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招标代理服务费用</w:t>
      </w:r>
      <w:r>
        <w:rPr>
          <w:rFonts w:hint="eastAsia" w:ascii="宋体" w:hAnsi="宋体" w:eastAsia="宋体" w:cs="宋体"/>
          <w:color w:val="000000"/>
          <w:kern w:val="0"/>
          <w:sz w:val="24"/>
          <w:szCs w:val="24"/>
        </w:rPr>
        <w:t>：</w:t>
      </w:r>
    </w:p>
    <w:p>
      <w:pPr>
        <w:widowControl/>
        <w:numPr>
          <w:ilvl w:val="0"/>
          <w:numId w:val="2"/>
        </w:numPr>
        <w:spacing w:line="480" w:lineRule="exact"/>
        <w:ind w:left="1265" w:hanging="1440" w:hangingChars="600"/>
        <w:jc w:val="left"/>
        <w:rPr>
          <w:rFonts w:hint="eastAsia" w:ascii="宋体" w:hAnsi="宋体" w:cs="宋体"/>
          <w:color w:val="000000"/>
          <w:kern w:val="0"/>
          <w:sz w:val="24"/>
          <w:szCs w:val="24"/>
          <w:u w:val="none"/>
          <w:lang w:val="en-US" w:eastAsia="zh-CN"/>
        </w:rPr>
      </w:pPr>
      <w:r>
        <w:rPr>
          <w:rFonts w:hint="eastAsia" w:ascii="宋体" w:hAnsi="宋体" w:eastAsia="宋体" w:cs="宋体"/>
          <w:color w:val="000000"/>
          <w:kern w:val="0"/>
          <w:sz w:val="24"/>
          <w:szCs w:val="24"/>
          <w:lang w:val="en-US" w:eastAsia="zh-CN"/>
        </w:rPr>
        <w:t>景德镇市黑猫环保科技有限责任公司</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景德镇市危险废物综合处置中心项目</w:t>
      </w:r>
      <w:r>
        <w:rPr>
          <w:rFonts w:hint="eastAsia" w:ascii="宋体" w:hAnsi="宋体" w:cs="宋体"/>
          <w:color w:val="000000"/>
          <w:kern w:val="0"/>
          <w:sz w:val="24"/>
          <w:szCs w:val="24"/>
          <w:lang w:val="en-US" w:eastAsia="zh-CN"/>
        </w:rPr>
        <w:t>刚填防渗膜项目，项目总价约335万元（叁佰叁拾伍万圆），</w:t>
      </w:r>
      <w:r>
        <w:rPr>
          <w:rFonts w:hint="eastAsia" w:ascii="Tahoma" w:hAnsi="Tahoma" w:cs="Tahoma"/>
          <w:color w:val="000000"/>
          <w:kern w:val="0"/>
          <w:sz w:val="24"/>
          <w:u w:val="none"/>
          <w:lang w:val="en-US" w:eastAsia="zh-CN"/>
        </w:rPr>
        <w:t>废气系统室内部分项目，项目总价约900万元（玖佰万圆整）。</w:t>
      </w:r>
    </w:p>
    <w:p>
      <w:pPr>
        <w:widowControl/>
        <w:numPr>
          <w:ilvl w:val="0"/>
          <w:numId w:val="2"/>
        </w:numPr>
        <w:spacing w:line="480" w:lineRule="exact"/>
        <w:ind w:left="1265" w:hanging="1440" w:hangingChars="600"/>
        <w:jc w:val="left"/>
        <w:rPr>
          <w:rFonts w:hint="eastAsia" w:ascii="宋体" w:hAnsi="宋体" w:eastAsia="宋体" w:cs="宋体"/>
          <w:color w:val="000000"/>
          <w:kern w:val="0"/>
          <w:szCs w:val="21"/>
        </w:rPr>
      </w:pPr>
      <w:r>
        <w:rPr>
          <w:rFonts w:hint="eastAsia" w:ascii="宋体" w:hAnsi="宋体" w:eastAsia="宋体" w:cs="宋体"/>
          <w:color w:val="000000"/>
          <w:kern w:val="0"/>
          <w:sz w:val="24"/>
          <w:szCs w:val="24"/>
        </w:rPr>
        <w:t>本次询价的报价单位在系统里进行</w:t>
      </w:r>
      <w:r>
        <w:rPr>
          <w:rFonts w:hint="eastAsia" w:ascii="宋体" w:hAnsi="宋体" w:cs="宋体"/>
          <w:color w:val="000000"/>
          <w:kern w:val="0"/>
          <w:sz w:val="24"/>
          <w:szCs w:val="24"/>
          <w:lang w:eastAsia="zh-CN"/>
        </w:rPr>
        <w:t>。</w:t>
      </w:r>
    </w:p>
    <w:p>
      <w:pPr>
        <w:widowControl/>
        <w:numPr>
          <w:ilvl w:val="0"/>
          <w:numId w:val="2"/>
        </w:numPr>
        <w:spacing w:line="480" w:lineRule="exact"/>
        <w:ind w:left="1265" w:hanging="1440" w:hangingChars="600"/>
        <w:jc w:val="left"/>
        <w:rPr>
          <w:rFonts w:hint="eastAsia" w:ascii="宋体" w:hAnsi="宋体" w:eastAsia="宋体" w:cs="宋体"/>
          <w:color w:val="000000"/>
          <w:kern w:val="0"/>
          <w:szCs w:val="21"/>
        </w:rPr>
      </w:pPr>
      <w:r>
        <w:rPr>
          <w:rFonts w:hint="eastAsia" w:ascii="宋体" w:hAnsi="宋体" w:eastAsia="宋体" w:cs="宋体"/>
          <w:color w:val="000000"/>
          <w:kern w:val="0"/>
          <w:sz w:val="24"/>
          <w:szCs w:val="24"/>
        </w:rPr>
        <w:t>招标代理服务费</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包含专家评审费等与招投标活动相关的一切费用</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的报价（人民币），</w:t>
      </w:r>
      <w:r>
        <w:rPr>
          <w:rFonts w:hint="eastAsia" w:ascii="宋体" w:hAnsi="宋体" w:cs="宋体"/>
          <w:color w:val="000000"/>
          <w:kern w:val="0"/>
          <w:sz w:val="24"/>
          <w:szCs w:val="24"/>
          <w:lang w:val="en-US" w:eastAsia="zh-CN"/>
        </w:rPr>
        <w:t>刚填防渗膜项目的招标代理费，由刚填防渗膜项目公开招标后的中标单位支付，废气系统室内部分的招标代理费，由废气系统室内部分公开招标后的中标单位支付。</w:t>
      </w:r>
    </w:p>
    <w:p>
      <w:pPr>
        <w:widowControl/>
        <w:numPr>
          <w:ilvl w:val="0"/>
          <w:numId w:val="2"/>
        </w:numPr>
        <w:spacing w:line="480" w:lineRule="exact"/>
        <w:ind w:left="1265" w:hanging="1440" w:hangingChars="6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景德镇市危险废物综合处置中心项目</w:t>
      </w:r>
      <w:r>
        <w:rPr>
          <w:rFonts w:hint="eastAsia" w:ascii="宋体" w:hAnsi="宋体" w:cs="宋体"/>
          <w:color w:val="000000"/>
          <w:kern w:val="0"/>
          <w:sz w:val="24"/>
          <w:szCs w:val="24"/>
          <w:lang w:val="en-US" w:eastAsia="zh-CN"/>
        </w:rPr>
        <w:t>刚填防渗膜项目招投标工作在黑猫电子招标采购交易平台进行，废气系统室内部分项目的招投标工作在江西省公共资源交易平台进行公开招投标工作。因此要求中标的招标代理公司必须能熟练操作黑猫集团电子招标采购交易平台，以及完成在乐平市住建局招标办和乐平市行政服务中心备案入驻的全部手续。</w:t>
      </w:r>
    </w:p>
    <w:p>
      <w:pPr>
        <w:widowControl/>
        <w:numPr>
          <w:ilvl w:val="0"/>
          <w:numId w:val="2"/>
        </w:numPr>
        <w:spacing w:line="480" w:lineRule="exact"/>
        <w:ind w:left="1265" w:hanging="1440" w:hangingChars="6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本项目的招标控制价详见上述表格描述，所有投标单位报价不得超过本项目控制价。</w:t>
      </w:r>
    </w:p>
    <w:p>
      <w:pPr>
        <w:widowControl/>
        <w:numPr>
          <w:ilvl w:val="0"/>
          <w:numId w:val="2"/>
        </w:numPr>
        <w:spacing w:line="480" w:lineRule="exact"/>
        <w:ind w:left="1265" w:hanging="1440" w:hangingChars="600"/>
        <w:jc w:val="left"/>
        <w:rPr>
          <w:rFonts w:hint="eastAsia" w:ascii="宋体" w:hAnsi="宋体" w:eastAsia="宋体" w:cs="宋体"/>
          <w:color w:val="000000"/>
          <w:kern w:val="0"/>
          <w:sz w:val="24"/>
          <w:szCs w:val="24"/>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pPr>
        <w:widowControl/>
        <w:spacing w:line="480" w:lineRule="exact"/>
        <w:ind w:left="1265" w:hanging="1440" w:hangingChars="600"/>
        <w:jc w:val="left"/>
        <w:rPr>
          <w:rFonts w:hint="eastAsia" w:ascii="宋体" w:hAnsi="宋体" w:eastAsia="宋体" w:cs="宋体"/>
          <w:color w:val="000000"/>
          <w:kern w:val="0"/>
          <w:sz w:val="24"/>
          <w:szCs w:val="24"/>
        </w:rPr>
      </w:pPr>
    </w:p>
    <w:p>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17</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17</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下</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5</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17</w:t>
      </w:r>
      <w:bookmarkStart w:id="0" w:name="_GoBack"/>
      <w:bookmarkEnd w:id="0"/>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下</w:t>
      </w:r>
      <w:r>
        <w:rPr>
          <w:rFonts w:hint="eastAsia" w:ascii="华文宋体" w:hAnsi="华文宋体" w:eastAsia="华文宋体" w:cs="宋体"/>
          <w:b/>
          <w:bCs w:val="0"/>
          <w:color w:val="000000"/>
          <w:kern w:val="0"/>
          <w:sz w:val="24"/>
          <w:u w:val="single"/>
        </w:rPr>
        <w:t>午1</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-1</w:t>
      </w:r>
      <w:r>
        <w:rPr>
          <w:rFonts w:hint="eastAsia" w:ascii="宋体" w:hAnsi="宋体" w:cs="宋体"/>
          <w:b/>
          <w:bCs w:val="0"/>
          <w:color w:val="000000"/>
          <w:kern w:val="0"/>
          <w:sz w:val="24"/>
          <w:u w:val="single"/>
          <w:lang w:val="en-US" w:eastAsia="zh-CN"/>
        </w:rPr>
        <w:t>5</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B6624"/>
    <w:multiLevelType w:val="singleLevel"/>
    <w:tmpl w:val="FC4B6624"/>
    <w:lvl w:ilvl="0" w:tentative="0">
      <w:start w:val="2"/>
      <w:numFmt w:val="chineseCounting"/>
      <w:suff w:val="nothing"/>
      <w:lvlText w:val="%1、"/>
      <w:lvlJc w:val="left"/>
      <w:rPr>
        <w:rFonts w:hint="eastAsia"/>
      </w:rPr>
    </w:lvl>
  </w:abstractNum>
  <w:abstractNum w:abstractNumId="1">
    <w:nsid w:val="7BB63ECD"/>
    <w:multiLevelType w:val="singleLevel"/>
    <w:tmpl w:val="7BB63E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YjAyMDM3Yzc0ZTRkNzBmYzE1NTlmMjk3ZmViMDY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8A1BB2"/>
    <w:rsid w:val="0394658D"/>
    <w:rsid w:val="03F434D0"/>
    <w:rsid w:val="047A39D5"/>
    <w:rsid w:val="04926F71"/>
    <w:rsid w:val="04A647CA"/>
    <w:rsid w:val="04A722F0"/>
    <w:rsid w:val="04DF7CDC"/>
    <w:rsid w:val="04E2157A"/>
    <w:rsid w:val="050B287F"/>
    <w:rsid w:val="051536FE"/>
    <w:rsid w:val="05175378"/>
    <w:rsid w:val="054B711F"/>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D4932"/>
    <w:rsid w:val="07155C37"/>
    <w:rsid w:val="0764271A"/>
    <w:rsid w:val="07C338E5"/>
    <w:rsid w:val="08144141"/>
    <w:rsid w:val="08191757"/>
    <w:rsid w:val="0822060B"/>
    <w:rsid w:val="08383BC8"/>
    <w:rsid w:val="0882035E"/>
    <w:rsid w:val="08A9156C"/>
    <w:rsid w:val="08B374B6"/>
    <w:rsid w:val="08EB6C4F"/>
    <w:rsid w:val="08F5135F"/>
    <w:rsid w:val="08F94E10"/>
    <w:rsid w:val="09170FB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C615E1"/>
    <w:rsid w:val="1DD51824"/>
    <w:rsid w:val="1DF63C75"/>
    <w:rsid w:val="1DF919B7"/>
    <w:rsid w:val="1E1862E1"/>
    <w:rsid w:val="1E2F53D8"/>
    <w:rsid w:val="1E76300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305E7B"/>
    <w:rsid w:val="233F7E6C"/>
    <w:rsid w:val="234C4337"/>
    <w:rsid w:val="23737B15"/>
    <w:rsid w:val="23A3664D"/>
    <w:rsid w:val="23A93537"/>
    <w:rsid w:val="23B00D6A"/>
    <w:rsid w:val="23E80503"/>
    <w:rsid w:val="2435301D"/>
    <w:rsid w:val="24596D0B"/>
    <w:rsid w:val="247104F9"/>
    <w:rsid w:val="24816262"/>
    <w:rsid w:val="24A24B56"/>
    <w:rsid w:val="24A850B1"/>
    <w:rsid w:val="24E52C95"/>
    <w:rsid w:val="25C24D84"/>
    <w:rsid w:val="26190E48"/>
    <w:rsid w:val="26467763"/>
    <w:rsid w:val="265579A6"/>
    <w:rsid w:val="26751DF6"/>
    <w:rsid w:val="269A360B"/>
    <w:rsid w:val="26D22DA5"/>
    <w:rsid w:val="26E33204"/>
    <w:rsid w:val="26E66850"/>
    <w:rsid w:val="26F1147D"/>
    <w:rsid w:val="27035654"/>
    <w:rsid w:val="27257379"/>
    <w:rsid w:val="276E6F72"/>
    <w:rsid w:val="27817861"/>
    <w:rsid w:val="27826579"/>
    <w:rsid w:val="28017DE6"/>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B90520"/>
    <w:rsid w:val="39F2758E"/>
    <w:rsid w:val="3A0D43C8"/>
    <w:rsid w:val="3A2F07E2"/>
    <w:rsid w:val="3A377697"/>
    <w:rsid w:val="3A3F654C"/>
    <w:rsid w:val="3A502507"/>
    <w:rsid w:val="3A647D60"/>
    <w:rsid w:val="3A823537"/>
    <w:rsid w:val="3A830A28"/>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401A339B"/>
    <w:rsid w:val="40B41A41"/>
    <w:rsid w:val="40BC6B48"/>
    <w:rsid w:val="40C61775"/>
    <w:rsid w:val="40D43E92"/>
    <w:rsid w:val="40DC68A2"/>
    <w:rsid w:val="40F938F8"/>
    <w:rsid w:val="40FD6DCE"/>
    <w:rsid w:val="40FE0F0E"/>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D47E8"/>
    <w:rsid w:val="47651CF5"/>
    <w:rsid w:val="47E412B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641AB8"/>
    <w:rsid w:val="518E1E3B"/>
    <w:rsid w:val="51C70EA9"/>
    <w:rsid w:val="51C92E73"/>
    <w:rsid w:val="52554706"/>
    <w:rsid w:val="526D7CA2"/>
    <w:rsid w:val="52923406"/>
    <w:rsid w:val="52943481"/>
    <w:rsid w:val="52C35B14"/>
    <w:rsid w:val="530E3C91"/>
    <w:rsid w:val="533B38FC"/>
    <w:rsid w:val="533F163E"/>
    <w:rsid w:val="53894668"/>
    <w:rsid w:val="542E16B3"/>
    <w:rsid w:val="547277F2"/>
    <w:rsid w:val="54DA7145"/>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A1124DF"/>
    <w:rsid w:val="5A2A6479"/>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635F46"/>
    <w:rsid w:val="6CE60925"/>
    <w:rsid w:val="6D25144D"/>
    <w:rsid w:val="6D284A9A"/>
    <w:rsid w:val="6D5C4743"/>
    <w:rsid w:val="6D8223FC"/>
    <w:rsid w:val="6D885538"/>
    <w:rsid w:val="6E0E1EE1"/>
    <w:rsid w:val="6E386F5E"/>
    <w:rsid w:val="6E6040C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2913AF"/>
    <w:rsid w:val="75383CE8"/>
    <w:rsid w:val="75491A51"/>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A0D129F"/>
    <w:rsid w:val="7A150154"/>
    <w:rsid w:val="7A1C14E2"/>
    <w:rsid w:val="7A262361"/>
    <w:rsid w:val="7A2860D9"/>
    <w:rsid w:val="7A601D17"/>
    <w:rsid w:val="7AC34054"/>
    <w:rsid w:val="7AF1471D"/>
    <w:rsid w:val="7AF34939"/>
    <w:rsid w:val="7AFD7566"/>
    <w:rsid w:val="7B533629"/>
    <w:rsid w:val="7B900EAA"/>
    <w:rsid w:val="7BAC4AE8"/>
    <w:rsid w:val="7BC65066"/>
    <w:rsid w:val="7BF00E78"/>
    <w:rsid w:val="7C232FFC"/>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autoRedefine/>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8"/>
    <w:autoRedefine/>
    <w:qFormat/>
    <w:uiPriority w:val="0"/>
    <w:rPr>
      <w:rFonts w:ascii="宋体" w:hAnsi="Courier New" w:cs="Courier New"/>
      <w:szCs w:val="21"/>
    </w:rPr>
  </w:style>
  <w:style w:type="paragraph" w:styleId="6">
    <w:name w:val="Date"/>
    <w:basedOn w:val="1"/>
    <w:next w:val="1"/>
    <w:link w:val="19"/>
    <w:autoRedefine/>
    <w:unhideWhenUsed/>
    <w:qFormat/>
    <w:uiPriority w:val="99"/>
    <w:pPr>
      <w:ind w:left="100" w:leftChars="2500"/>
    </w:pPr>
  </w:style>
  <w:style w:type="paragraph" w:styleId="7">
    <w:name w:val="Balloon Text"/>
    <w:basedOn w:val="1"/>
    <w:link w:val="20"/>
    <w:autoRedefine/>
    <w:unhideWhenUsed/>
    <w:qFormat/>
    <w:uiPriority w:val="0"/>
    <w:rPr>
      <w:sz w:val="18"/>
      <w:szCs w:val="18"/>
    </w:rPr>
  </w:style>
  <w:style w:type="paragraph" w:styleId="8">
    <w:name w:val="footer"/>
    <w:basedOn w:val="1"/>
    <w:link w:val="21"/>
    <w:autoRedefine/>
    <w:unhideWhenUsed/>
    <w:qFormat/>
    <w:uiPriority w:val="0"/>
    <w:pPr>
      <w:tabs>
        <w:tab w:val="center" w:pos="4153"/>
        <w:tab w:val="right" w:pos="8306"/>
      </w:tabs>
      <w:snapToGrid w:val="0"/>
      <w:jc w:val="left"/>
    </w:pPr>
    <w:rPr>
      <w:sz w:val="18"/>
      <w:szCs w:val="18"/>
    </w:rPr>
  </w:style>
  <w:style w:type="paragraph" w:styleId="9">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autoRedefine/>
    <w:unhideWhenUsed/>
    <w:qFormat/>
    <w:uiPriority w:val="99"/>
    <w:rPr>
      <w:color w:val="0563C1"/>
      <w:u w:val="single"/>
    </w:rPr>
  </w:style>
  <w:style w:type="character" w:customStyle="1" w:styleId="15">
    <w:name w:val="标题 1 字符"/>
    <w:link w:val="2"/>
    <w:autoRedefine/>
    <w:qFormat/>
    <w:uiPriority w:val="0"/>
    <w:rPr>
      <w:rFonts w:ascii="Times New Roman" w:hAnsi="Times New Roman"/>
      <w:b/>
      <w:kern w:val="44"/>
      <w:sz w:val="44"/>
      <w:szCs w:val="24"/>
    </w:rPr>
  </w:style>
  <w:style w:type="character" w:customStyle="1" w:styleId="16">
    <w:name w:val="标题 2 字符"/>
    <w:link w:val="3"/>
    <w:autoRedefine/>
    <w:qFormat/>
    <w:uiPriority w:val="0"/>
    <w:rPr>
      <w:rFonts w:ascii="Arial" w:hAnsi="Arial" w:eastAsia="黑体"/>
      <w:b/>
      <w:bCs/>
      <w:kern w:val="2"/>
      <w:sz w:val="32"/>
      <w:szCs w:val="32"/>
    </w:rPr>
  </w:style>
  <w:style w:type="character" w:customStyle="1" w:styleId="17">
    <w:name w:val="正文文本 字符"/>
    <w:link w:val="4"/>
    <w:autoRedefine/>
    <w:qFormat/>
    <w:uiPriority w:val="0"/>
    <w:rPr>
      <w:rFonts w:ascii="宋体" w:hAnsi="宋体" w:cs="宋体"/>
      <w:sz w:val="24"/>
      <w:szCs w:val="24"/>
    </w:rPr>
  </w:style>
  <w:style w:type="character" w:customStyle="1" w:styleId="18">
    <w:name w:val="纯文本 字符"/>
    <w:link w:val="5"/>
    <w:autoRedefine/>
    <w:qFormat/>
    <w:uiPriority w:val="0"/>
    <w:rPr>
      <w:rFonts w:ascii="宋体" w:hAnsi="Courier New" w:eastAsia="宋体" w:cs="Courier New"/>
      <w:szCs w:val="21"/>
    </w:rPr>
  </w:style>
  <w:style w:type="character" w:customStyle="1" w:styleId="19">
    <w:name w:val="日期 字符"/>
    <w:link w:val="6"/>
    <w:autoRedefine/>
    <w:semiHidden/>
    <w:qFormat/>
    <w:uiPriority w:val="99"/>
    <w:rPr>
      <w:rFonts w:ascii="Times New Roman" w:hAnsi="Times New Roman" w:eastAsia="宋体" w:cs="Times New Roman"/>
      <w:szCs w:val="24"/>
    </w:rPr>
  </w:style>
  <w:style w:type="character" w:customStyle="1" w:styleId="20">
    <w:name w:val="批注框文本 字符"/>
    <w:link w:val="7"/>
    <w:autoRedefine/>
    <w:semiHidden/>
    <w:qFormat/>
    <w:uiPriority w:val="99"/>
    <w:rPr>
      <w:rFonts w:ascii="Times New Roman" w:hAnsi="Times New Roman"/>
      <w:kern w:val="2"/>
      <w:sz w:val="18"/>
      <w:szCs w:val="18"/>
    </w:rPr>
  </w:style>
  <w:style w:type="character" w:customStyle="1" w:styleId="21">
    <w:name w:val="页脚 字符"/>
    <w:link w:val="8"/>
    <w:autoRedefine/>
    <w:qFormat/>
    <w:uiPriority w:val="0"/>
    <w:rPr>
      <w:sz w:val="18"/>
      <w:szCs w:val="18"/>
    </w:rPr>
  </w:style>
  <w:style w:type="character" w:customStyle="1" w:styleId="22">
    <w:name w:val="页眉 字符"/>
    <w:link w:val="9"/>
    <w:autoRedefine/>
    <w:qFormat/>
    <w:uiPriority w:val="0"/>
    <w:rPr>
      <w:sz w:val="18"/>
      <w:szCs w:val="18"/>
    </w:rPr>
  </w:style>
  <w:style w:type="character" w:customStyle="1" w:styleId="23">
    <w:name w:val="chanpin1"/>
    <w:autoRedefine/>
    <w:qFormat/>
    <w:uiPriority w:val="0"/>
    <w:rPr>
      <w:color w:val="333333"/>
      <w:sz w:val="21"/>
      <w:szCs w:val="21"/>
    </w:rPr>
  </w:style>
  <w:style w:type="character" w:customStyle="1" w:styleId="24">
    <w:name w:val="font11"/>
    <w:autoRedefine/>
    <w:qFormat/>
    <w:uiPriority w:val="0"/>
    <w:rPr>
      <w:rFonts w:hint="eastAsia" w:ascii="宋体" w:hAnsi="宋体" w:eastAsia="宋体" w:cs="宋体"/>
      <w:b/>
      <w:color w:val="FF0000"/>
      <w:sz w:val="20"/>
      <w:szCs w:val="20"/>
      <w:u w:val="none"/>
    </w:rPr>
  </w:style>
  <w:style w:type="character" w:customStyle="1" w:styleId="25">
    <w:name w:val="font01"/>
    <w:autoRedefine/>
    <w:qFormat/>
    <w:uiPriority w:val="0"/>
    <w:rPr>
      <w:rFonts w:hint="eastAsia" w:ascii="宋体" w:hAnsi="宋体" w:eastAsia="宋体" w:cs="宋体"/>
      <w:b/>
      <w:color w:val="000000"/>
      <w:sz w:val="20"/>
      <w:szCs w:val="20"/>
      <w:u w:val="none"/>
    </w:rPr>
  </w:style>
  <w:style w:type="character" w:customStyle="1" w:styleId="26">
    <w:name w:val="Table Text Char"/>
    <w:link w:val="27"/>
    <w:autoRedefine/>
    <w:qFormat/>
    <w:uiPriority w:val="0"/>
    <w:rPr>
      <w:rFonts w:ascii="Arial" w:hAnsi="Arial"/>
      <w:kern w:val="2"/>
      <w:sz w:val="18"/>
    </w:rPr>
  </w:style>
  <w:style w:type="paragraph" w:customStyle="1" w:styleId="27">
    <w:name w:val="Table Text"/>
    <w:link w:val="2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8">
    <w:name w:val="crowed11"/>
    <w:autoRedefine/>
    <w:qFormat/>
    <w:uiPriority w:val="0"/>
    <w:rPr>
      <w:rFonts w:hint="default" w:ascii="_x000B__x000C_" w:hAnsi="_x000B__x000C_"/>
      <w:sz w:val="24"/>
    </w:rPr>
  </w:style>
  <w:style w:type="character" w:customStyle="1" w:styleId="29">
    <w:name w:val="font21"/>
    <w:autoRedefine/>
    <w:qFormat/>
    <w:uiPriority w:val="0"/>
    <w:rPr>
      <w:rFonts w:hint="eastAsia" w:ascii="宋体" w:hAnsi="宋体" w:eastAsia="宋体" w:cs="宋体"/>
      <w:b/>
      <w:color w:val="000000"/>
      <w:sz w:val="20"/>
      <w:szCs w:val="20"/>
      <w:u w:val="none"/>
    </w:rPr>
  </w:style>
  <w:style w:type="character" w:customStyle="1" w:styleId="30">
    <w:name w:val="font31"/>
    <w:autoRedefine/>
    <w:qFormat/>
    <w:uiPriority w:val="0"/>
    <w:rPr>
      <w:rFonts w:hint="eastAsia" w:ascii="宋体" w:hAnsi="宋体" w:eastAsia="宋体" w:cs="宋体"/>
      <w:color w:val="000000"/>
      <w:sz w:val="20"/>
      <w:szCs w:val="20"/>
      <w:u w:val="none"/>
    </w:rPr>
  </w:style>
  <w:style w:type="paragraph" w:customStyle="1" w:styleId="31">
    <w:name w:val=" Char Char Char1 Char Char Char Char"/>
    <w:basedOn w:val="1"/>
    <w:autoRedefine/>
    <w:qFormat/>
    <w:uiPriority w:val="0"/>
  </w:style>
  <w:style w:type="paragraph" w:customStyle="1" w:styleId="32">
    <w:name w:val="1"/>
    <w:basedOn w:val="1"/>
    <w:next w:val="5"/>
    <w:autoRedefine/>
    <w:qFormat/>
    <w:uiPriority w:val="0"/>
    <w:rPr>
      <w:rFonts w:ascii="宋体" w:hAnsi="Courier New"/>
      <w:szCs w:val="20"/>
    </w:rPr>
  </w:style>
  <w:style w:type="paragraph" w:customStyle="1" w:styleId="33">
    <w:name w:val="列出段落1"/>
    <w:basedOn w:val="1"/>
    <w:autoRedefine/>
    <w:qFormat/>
    <w:uiPriority w:val="99"/>
    <w:pPr>
      <w:ind w:firstLine="420" w:firstLineChars="200"/>
    </w:pPr>
  </w:style>
  <w:style w:type="paragraph" w:customStyle="1" w:styleId="34">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1644</Words>
  <Characters>1921</Characters>
  <Lines>12</Lines>
  <Paragraphs>3</Paragraphs>
  <TotalTime>66</TotalTime>
  <ScaleCrop>false</ScaleCrop>
  <LinksUpToDate>false</LinksUpToDate>
  <CharactersWithSpaces>1941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一叶之秋</cp:lastModifiedBy>
  <cp:lastPrinted>2024-05-13T07:13:00Z</cp:lastPrinted>
  <dcterms:modified xsi:type="dcterms:W3CDTF">2024-05-13T07:51:21Z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A031EC86994843BC81AAB50C777A983A_13</vt:lpwstr>
  </property>
</Properties>
</file>