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numId w:val="0"/>
        </w:numPr>
        <w:spacing w:line="360" w:lineRule="auto"/>
        <w:ind w:leftChars="0"/>
        <w:jc w:val="center"/>
        <w:rPr>
          <w:rStyle w:val="8"/>
          <w:rFonts w:asciiTheme="minorEastAsia" w:hAnsiTheme="minorEastAsia"/>
          <w:kern w:val="0"/>
          <w:sz w:val="24"/>
          <w:szCs w:val="24"/>
          <w:highlight w:val="none"/>
        </w:rPr>
      </w:pPr>
      <w:r>
        <w:rPr>
          <w:rStyle w:val="8"/>
          <w:rFonts w:hint="eastAsia" w:asciiTheme="minorEastAsia" w:hAnsiTheme="minorEastAsia"/>
          <w:b/>
          <w:sz w:val="28"/>
          <w:szCs w:val="24"/>
          <w:lang w:val="en-US" w:eastAsia="zh-CN"/>
        </w:rPr>
        <w:t>智能高频开关直流屏采购技术要求</w:t>
      </w:r>
      <w:bookmarkStart w:id="0" w:name="_GoBack"/>
      <w:bookmarkEnd w:id="0"/>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微软雅黑" w:hAnsi="微软雅黑" w:eastAsia="微软雅黑" w:cs="微软雅黑"/>
          <w:kern w:val="0"/>
          <w:sz w:val="24"/>
          <w:szCs w:val="24"/>
          <w:highlight w:val="none"/>
        </w:rPr>
        <w:t>★</w:t>
      </w:r>
      <w:r>
        <w:rPr>
          <w:rStyle w:val="8"/>
          <w:rFonts w:asciiTheme="minorEastAsia" w:hAnsiTheme="minorEastAsia"/>
          <w:kern w:val="0"/>
          <w:sz w:val="24"/>
          <w:szCs w:val="24"/>
          <w:highlight w:val="none"/>
        </w:rPr>
        <w:t>工业用磷酸铁锂电池组必须通过国家承认的第三方权威检测机构的型式试验检测</w:t>
      </w:r>
      <w:r>
        <w:rPr>
          <w:rStyle w:val="8"/>
          <w:rFonts w:hint="eastAsia" w:asciiTheme="minorEastAsia" w:hAnsiTheme="minorEastAsia"/>
          <w:kern w:val="0"/>
          <w:sz w:val="24"/>
          <w:szCs w:val="24"/>
          <w:highlight w:val="none"/>
        </w:rPr>
        <w:t>及电池模块的安全性测试</w:t>
      </w:r>
      <w:r>
        <w:rPr>
          <w:rStyle w:val="8"/>
          <w:rFonts w:asciiTheme="minorEastAsia" w:hAnsiTheme="minorEastAsia"/>
          <w:kern w:val="0"/>
          <w:sz w:val="24"/>
          <w:szCs w:val="24"/>
          <w:highlight w:val="none"/>
        </w:rPr>
        <w:t>，</w:t>
      </w:r>
      <w:r>
        <w:rPr>
          <w:rStyle w:val="8"/>
          <w:rFonts w:hint="eastAsia" w:asciiTheme="minorEastAsia" w:hAnsiTheme="minorEastAsia"/>
          <w:kern w:val="0"/>
          <w:sz w:val="24"/>
          <w:szCs w:val="24"/>
          <w:highlight w:val="none"/>
        </w:rPr>
        <w:t>检测电池组要求电压等级不低于2</w:t>
      </w:r>
      <w:r>
        <w:rPr>
          <w:rStyle w:val="8"/>
          <w:rFonts w:asciiTheme="minorEastAsia" w:hAnsiTheme="minorEastAsia"/>
          <w:kern w:val="0"/>
          <w:sz w:val="24"/>
          <w:szCs w:val="24"/>
          <w:highlight w:val="none"/>
        </w:rPr>
        <w:t>20V</w:t>
      </w:r>
      <w:r>
        <w:rPr>
          <w:rStyle w:val="8"/>
          <w:rFonts w:hint="eastAsia" w:asciiTheme="minorEastAsia" w:hAnsiTheme="minorEastAsia"/>
          <w:kern w:val="0"/>
          <w:sz w:val="24"/>
          <w:szCs w:val="24"/>
          <w:highlight w:val="none"/>
        </w:rPr>
        <w:t>，检测电池组容量不低于1</w:t>
      </w:r>
      <w:r>
        <w:rPr>
          <w:rStyle w:val="8"/>
          <w:rFonts w:asciiTheme="minorEastAsia" w:hAnsiTheme="minorEastAsia"/>
          <w:kern w:val="0"/>
          <w:sz w:val="24"/>
          <w:szCs w:val="24"/>
          <w:highlight w:val="none"/>
        </w:rPr>
        <w:t>00A</w:t>
      </w:r>
      <w:r>
        <w:rPr>
          <w:rStyle w:val="8"/>
          <w:rFonts w:hint="eastAsia" w:asciiTheme="minorEastAsia" w:hAnsiTheme="minorEastAsia"/>
          <w:kern w:val="0"/>
          <w:sz w:val="24"/>
          <w:szCs w:val="24"/>
          <w:highlight w:val="none"/>
        </w:rPr>
        <w:t>h，</w:t>
      </w:r>
      <w:r>
        <w:rPr>
          <w:rStyle w:val="8"/>
          <w:rFonts w:asciiTheme="minorEastAsia" w:hAnsiTheme="minorEastAsia"/>
          <w:kern w:val="0"/>
          <w:sz w:val="24"/>
          <w:szCs w:val="24"/>
          <w:highlight w:val="none"/>
        </w:rPr>
        <w:t>检测内容须包含放电性能、电磁兼容性能、保护和告警等方面的测试结果。</w:t>
      </w:r>
      <w:r>
        <w:rPr>
          <w:rStyle w:val="8"/>
          <w:rFonts w:hint="eastAsia" w:asciiTheme="minorEastAsia" w:hAnsiTheme="minorEastAsia"/>
          <w:kern w:val="0"/>
          <w:sz w:val="24"/>
          <w:szCs w:val="24"/>
          <w:highlight w:val="none"/>
        </w:rPr>
        <w:t>报告上至少应带有CNAS 、CMA、ilac- MRA三个印章</w:t>
      </w:r>
      <w:r>
        <w:rPr>
          <w:rStyle w:val="8"/>
          <w:rFonts w:hint="eastAsia" w:asciiTheme="minorEastAsia" w:hAnsiTheme="minorEastAsia"/>
          <w:kern w:val="0"/>
          <w:sz w:val="24"/>
          <w:szCs w:val="24"/>
          <w:highlight w:val="none"/>
          <w:lang w:eastAsia="zh-CN"/>
        </w:rPr>
        <w:t>。</w:t>
      </w:r>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微软雅黑" w:hAnsi="微软雅黑" w:eastAsia="微软雅黑" w:cs="微软雅黑"/>
          <w:kern w:val="0"/>
          <w:sz w:val="24"/>
          <w:szCs w:val="24"/>
          <w:highlight w:val="none"/>
        </w:rPr>
        <w:t>★</w:t>
      </w:r>
      <w:r>
        <w:rPr>
          <w:rStyle w:val="8"/>
          <w:rFonts w:hint="eastAsia" w:asciiTheme="minorEastAsia" w:hAnsiTheme="minorEastAsia"/>
          <w:kern w:val="0"/>
          <w:sz w:val="24"/>
          <w:szCs w:val="24"/>
          <w:highlight w:val="none"/>
        </w:rPr>
        <w:t>直流系统</w:t>
      </w:r>
      <w:r>
        <w:rPr>
          <w:rStyle w:val="8"/>
          <w:rFonts w:hint="eastAsia" w:asciiTheme="minorEastAsia" w:hAnsiTheme="minorEastAsia"/>
          <w:kern w:val="0"/>
          <w:sz w:val="24"/>
          <w:szCs w:val="24"/>
          <w:highlight w:val="none"/>
          <w:lang w:eastAsia="zh-CN"/>
        </w:rPr>
        <w:t>（</w:t>
      </w:r>
      <w:r>
        <w:rPr>
          <w:rStyle w:val="8"/>
          <w:rFonts w:hint="eastAsia" w:asciiTheme="minorEastAsia" w:hAnsiTheme="minorEastAsia"/>
          <w:kern w:val="0"/>
          <w:sz w:val="24"/>
          <w:szCs w:val="24"/>
          <w:highlight w:val="none"/>
          <w:lang w:val="en-US" w:eastAsia="zh-CN"/>
        </w:rPr>
        <w:t>配套</w:t>
      </w:r>
      <w:r>
        <w:rPr>
          <w:rStyle w:val="8"/>
          <w:rFonts w:hint="eastAsia" w:asciiTheme="minorEastAsia" w:hAnsiTheme="minorEastAsia"/>
          <w:kern w:val="0"/>
          <w:sz w:val="24"/>
          <w:szCs w:val="24"/>
          <w:highlight w:val="none"/>
        </w:rPr>
        <w:t>磷酸铁锂电池组</w:t>
      </w:r>
      <w:r>
        <w:rPr>
          <w:rStyle w:val="8"/>
          <w:rFonts w:hint="eastAsia" w:asciiTheme="minorEastAsia" w:hAnsiTheme="minorEastAsia"/>
          <w:kern w:val="0"/>
          <w:sz w:val="24"/>
          <w:szCs w:val="24"/>
          <w:highlight w:val="none"/>
          <w:lang w:eastAsia="zh-CN"/>
        </w:rPr>
        <w:t>）</w:t>
      </w:r>
      <w:r>
        <w:rPr>
          <w:rStyle w:val="8"/>
          <w:rFonts w:hint="eastAsia" w:asciiTheme="minorEastAsia" w:hAnsiTheme="minorEastAsia"/>
          <w:kern w:val="0"/>
          <w:sz w:val="24"/>
          <w:szCs w:val="24"/>
          <w:highlight w:val="none"/>
          <w:lang w:val="en-US" w:eastAsia="zh-CN"/>
        </w:rPr>
        <w:t>必须通过</w:t>
      </w:r>
      <w:r>
        <w:rPr>
          <w:rStyle w:val="8"/>
          <w:rFonts w:asciiTheme="minorEastAsia" w:hAnsiTheme="minorEastAsia"/>
          <w:kern w:val="0"/>
          <w:sz w:val="24"/>
          <w:szCs w:val="24"/>
          <w:highlight w:val="none"/>
        </w:rPr>
        <w:t>国家承认的第三方权威检测机构</w:t>
      </w:r>
      <w:r>
        <w:rPr>
          <w:rStyle w:val="8"/>
          <w:rFonts w:hint="eastAsia" w:asciiTheme="minorEastAsia" w:hAnsiTheme="minorEastAsia"/>
          <w:kern w:val="0"/>
          <w:sz w:val="24"/>
          <w:szCs w:val="24"/>
          <w:highlight w:val="none"/>
          <w:lang w:val="en-US" w:eastAsia="zh-CN"/>
        </w:rPr>
        <w:t>的</w:t>
      </w:r>
      <w:r>
        <w:rPr>
          <w:rStyle w:val="8"/>
          <w:rFonts w:asciiTheme="minorEastAsia" w:hAnsiTheme="minorEastAsia"/>
          <w:kern w:val="0"/>
          <w:sz w:val="24"/>
          <w:szCs w:val="24"/>
          <w:highlight w:val="none"/>
        </w:rPr>
        <w:t>型式试验检测</w:t>
      </w:r>
      <w:r>
        <w:rPr>
          <w:rStyle w:val="8"/>
          <w:rFonts w:hint="eastAsia" w:asciiTheme="minorEastAsia" w:hAnsiTheme="minorEastAsia"/>
          <w:kern w:val="0"/>
          <w:sz w:val="24"/>
          <w:szCs w:val="24"/>
          <w:highlight w:val="none"/>
          <w:lang w:eastAsia="zh-CN"/>
        </w:rPr>
        <w:t>，</w:t>
      </w:r>
      <w:r>
        <w:rPr>
          <w:rStyle w:val="8"/>
          <w:rFonts w:hint="eastAsia" w:asciiTheme="minorEastAsia" w:hAnsiTheme="minorEastAsia"/>
          <w:kern w:val="0"/>
          <w:sz w:val="24"/>
          <w:szCs w:val="24"/>
          <w:highlight w:val="none"/>
        </w:rPr>
        <w:t>检测</w:t>
      </w:r>
      <w:r>
        <w:rPr>
          <w:rStyle w:val="8"/>
          <w:rFonts w:hint="eastAsia" w:asciiTheme="minorEastAsia" w:hAnsiTheme="minorEastAsia"/>
          <w:kern w:val="0"/>
          <w:sz w:val="24"/>
          <w:szCs w:val="24"/>
          <w:highlight w:val="none"/>
          <w:lang w:val="en-US" w:eastAsia="zh-CN"/>
        </w:rPr>
        <w:t>锂</w:t>
      </w:r>
      <w:r>
        <w:rPr>
          <w:rStyle w:val="8"/>
          <w:rFonts w:hint="eastAsia" w:asciiTheme="minorEastAsia" w:hAnsiTheme="minorEastAsia"/>
          <w:kern w:val="0"/>
          <w:sz w:val="24"/>
          <w:szCs w:val="24"/>
          <w:highlight w:val="none"/>
        </w:rPr>
        <w:t>电池组要求电压等级不低于2</w:t>
      </w:r>
      <w:r>
        <w:rPr>
          <w:rStyle w:val="8"/>
          <w:rFonts w:asciiTheme="minorEastAsia" w:hAnsiTheme="minorEastAsia"/>
          <w:kern w:val="0"/>
          <w:sz w:val="24"/>
          <w:szCs w:val="24"/>
          <w:highlight w:val="none"/>
        </w:rPr>
        <w:t>20V</w:t>
      </w:r>
      <w:r>
        <w:rPr>
          <w:rStyle w:val="8"/>
          <w:rFonts w:hint="eastAsia" w:asciiTheme="minorEastAsia" w:hAnsiTheme="minorEastAsia"/>
          <w:kern w:val="0"/>
          <w:sz w:val="24"/>
          <w:szCs w:val="24"/>
          <w:highlight w:val="none"/>
        </w:rPr>
        <w:t>，检测</w:t>
      </w:r>
      <w:r>
        <w:rPr>
          <w:rStyle w:val="8"/>
          <w:rFonts w:hint="eastAsia" w:asciiTheme="minorEastAsia" w:hAnsiTheme="minorEastAsia"/>
          <w:kern w:val="0"/>
          <w:sz w:val="24"/>
          <w:szCs w:val="24"/>
          <w:highlight w:val="none"/>
          <w:lang w:val="en-US" w:eastAsia="zh-CN"/>
        </w:rPr>
        <w:t>锂</w:t>
      </w:r>
      <w:r>
        <w:rPr>
          <w:rStyle w:val="8"/>
          <w:rFonts w:hint="eastAsia" w:asciiTheme="minorEastAsia" w:hAnsiTheme="minorEastAsia"/>
          <w:kern w:val="0"/>
          <w:sz w:val="24"/>
          <w:szCs w:val="24"/>
          <w:highlight w:val="none"/>
        </w:rPr>
        <w:t>电池组容量不低于</w:t>
      </w:r>
      <w:r>
        <w:rPr>
          <w:rStyle w:val="8"/>
          <w:rFonts w:hint="eastAsia" w:asciiTheme="minorEastAsia" w:hAnsiTheme="minorEastAsia"/>
          <w:kern w:val="0"/>
          <w:sz w:val="24"/>
          <w:szCs w:val="24"/>
          <w:highlight w:val="none"/>
          <w:lang w:val="en-US" w:eastAsia="zh-CN"/>
        </w:rPr>
        <w:t>2</w:t>
      </w:r>
      <w:r>
        <w:rPr>
          <w:rStyle w:val="8"/>
          <w:rFonts w:asciiTheme="minorEastAsia" w:hAnsiTheme="minorEastAsia"/>
          <w:kern w:val="0"/>
          <w:sz w:val="24"/>
          <w:szCs w:val="24"/>
          <w:highlight w:val="none"/>
        </w:rPr>
        <w:t>00A</w:t>
      </w:r>
      <w:r>
        <w:rPr>
          <w:rStyle w:val="8"/>
          <w:rFonts w:hint="eastAsia" w:asciiTheme="minorEastAsia" w:hAnsiTheme="minorEastAsia"/>
          <w:kern w:val="0"/>
          <w:sz w:val="24"/>
          <w:szCs w:val="24"/>
          <w:highlight w:val="none"/>
        </w:rPr>
        <w:t>h</w:t>
      </w:r>
      <w:r>
        <w:rPr>
          <w:rStyle w:val="8"/>
          <w:rFonts w:hint="eastAsia" w:asciiTheme="minorEastAsia" w:hAnsiTheme="minorEastAsia"/>
          <w:kern w:val="0"/>
          <w:sz w:val="24"/>
          <w:szCs w:val="24"/>
          <w:highlight w:val="none"/>
          <w:lang w:eastAsia="zh-CN"/>
        </w:rPr>
        <w:t>。</w:t>
      </w:r>
      <w:r>
        <w:rPr>
          <w:rFonts w:hint="eastAsia" w:ascii="宋体" w:hAnsi="宋体" w:eastAsia="宋体" w:cs="宋体"/>
          <w:sz w:val="24"/>
          <w:highlight w:val="none"/>
        </w:rPr>
        <w:t>报告上至少应带有CNAS 、CMA、ilac- MRA三个印章</w:t>
      </w:r>
      <w:r>
        <w:rPr>
          <w:rFonts w:hint="eastAsia" w:ascii="宋体" w:hAnsi="宋体" w:eastAsia="宋体" w:cs="宋体"/>
          <w:sz w:val="24"/>
          <w:highlight w:val="none"/>
          <w:lang w:eastAsia="zh-CN"/>
        </w:rPr>
        <w:t>。</w:t>
      </w:r>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微软雅黑" w:hAnsi="微软雅黑" w:eastAsia="微软雅黑" w:cs="微软雅黑"/>
          <w:kern w:val="0"/>
          <w:sz w:val="24"/>
          <w:szCs w:val="24"/>
          <w:highlight w:val="none"/>
        </w:rPr>
        <w:t>★</w:t>
      </w:r>
      <w:r>
        <w:rPr>
          <w:rFonts w:hint="eastAsia" w:asciiTheme="minorEastAsia" w:hAnsiTheme="minorEastAsia"/>
          <w:sz w:val="24"/>
          <w:szCs w:val="24"/>
          <w:highlight w:val="none"/>
          <w:lang w:val="en-US" w:eastAsia="zh-CN"/>
        </w:rPr>
        <w:t>厂商必须具有锂电池组管理系统开发、设计的技术实力，须提供发明专利等证明材料。</w:t>
      </w:r>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微软雅黑" w:hAnsi="微软雅黑" w:eastAsia="微软雅黑" w:cs="微软雅黑"/>
          <w:kern w:val="0"/>
          <w:sz w:val="24"/>
          <w:szCs w:val="24"/>
          <w:highlight w:val="none"/>
        </w:rPr>
        <w:t>★</w:t>
      </w:r>
      <w:r>
        <w:rPr>
          <w:rFonts w:hint="eastAsia" w:asciiTheme="minorEastAsia" w:hAnsiTheme="minorEastAsia"/>
          <w:sz w:val="24"/>
          <w:szCs w:val="24"/>
          <w:highlight w:val="none"/>
          <w:lang w:val="en-US" w:eastAsia="zh-CN"/>
        </w:rPr>
        <w:t>锂</w:t>
      </w:r>
      <w:r>
        <w:rPr>
          <w:rFonts w:hint="eastAsia" w:asciiTheme="minorEastAsia" w:hAnsiTheme="minorEastAsia"/>
          <w:sz w:val="24"/>
          <w:szCs w:val="24"/>
          <w:highlight w:val="none"/>
        </w:rPr>
        <w:t>电池管理系统</w:t>
      </w:r>
      <w:r>
        <w:rPr>
          <w:rFonts w:hint="eastAsia" w:asciiTheme="minorEastAsia" w:hAnsiTheme="minorEastAsia"/>
          <w:sz w:val="24"/>
          <w:szCs w:val="24"/>
          <w:highlight w:val="none"/>
          <w:lang w:val="en-US" w:eastAsia="zh-CN"/>
        </w:rPr>
        <w:t>必须必须通过国家承认的第三方权威检测机构的型式试验检测，检测依据《GB/T34131-2023电力储能用电池管理系统》，报告上至少应带有CNAS 、CMA、ilac- MRA三个印章。</w:t>
      </w:r>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微软雅黑" w:hAnsi="微软雅黑" w:eastAsia="微软雅黑" w:cs="微软雅黑"/>
          <w:kern w:val="0"/>
          <w:sz w:val="24"/>
          <w:szCs w:val="24"/>
          <w:highlight w:val="none"/>
        </w:rPr>
        <w:t>★</w:t>
      </w:r>
      <w:r>
        <w:rPr>
          <w:rStyle w:val="8"/>
          <w:rFonts w:hint="eastAsia" w:asciiTheme="minorEastAsia" w:hAnsiTheme="minorEastAsia"/>
          <w:kern w:val="0"/>
          <w:sz w:val="24"/>
          <w:szCs w:val="24"/>
          <w:highlight w:val="none"/>
        </w:rPr>
        <w:t>磷酸铁锂蓄电池组应采用性能良好、高质量、优质的磷酸铁锂单体电池，单体电池应采用宁德时代CATL、比亚迪、亿纬锂能或等同品牌。</w:t>
      </w:r>
    </w:p>
    <w:p>
      <w:pPr>
        <w:pStyle w:val="9"/>
        <w:numPr>
          <w:ilvl w:val="0"/>
          <w:numId w:val="1"/>
        </w:numPr>
        <w:spacing w:line="360" w:lineRule="auto"/>
        <w:ind w:firstLineChars="0"/>
        <w:rPr>
          <w:rStyle w:val="8"/>
          <w:rFonts w:asciiTheme="minorEastAsia" w:hAnsiTheme="minorEastAsia"/>
          <w:kern w:val="0"/>
          <w:sz w:val="24"/>
          <w:szCs w:val="24"/>
          <w:highlight w:val="none"/>
        </w:rPr>
      </w:pPr>
      <w:r>
        <w:rPr>
          <w:rStyle w:val="8"/>
          <w:rFonts w:hint="eastAsia" w:asciiTheme="minorEastAsia" w:hAnsiTheme="minorEastAsia"/>
          <w:kern w:val="0"/>
          <w:sz w:val="24"/>
          <w:szCs w:val="24"/>
          <w:highlight w:val="none"/>
        </w:rPr>
        <w:t>卖方投标时应提供</w:t>
      </w:r>
      <w:r>
        <w:rPr>
          <w:rStyle w:val="8"/>
          <w:rFonts w:hint="eastAsia" w:asciiTheme="minorEastAsia" w:hAnsiTheme="minorEastAsia"/>
          <w:kern w:val="0"/>
          <w:sz w:val="24"/>
          <w:szCs w:val="24"/>
          <w:highlight w:val="none"/>
          <w:lang w:eastAsia="zh-CN"/>
        </w:rPr>
        <w:t>上述报告及资料。</w:t>
      </w:r>
    </w:p>
    <w:p>
      <w:pPr>
        <w:pStyle w:val="9"/>
        <w:numPr>
          <w:ilvl w:val="0"/>
          <w:numId w:val="0"/>
        </w:numPr>
        <w:spacing w:line="360" w:lineRule="auto"/>
        <w:ind w:leftChars="0"/>
        <w:rPr>
          <w:rFonts w:asciiTheme="minorEastAsia" w:hAnsiTheme="minorEastAsia"/>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C7817"/>
    <w:multiLevelType w:val="multilevel"/>
    <w:tmpl w:val="1DAC78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Zjk5NWFkZDYwNzY1YjNhY2I3ZmRhMmFiZDlmYTkifQ=="/>
  </w:docVars>
  <w:rsids>
    <w:rsidRoot w:val="00223812"/>
    <w:rsid w:val="00035CAF"/>
    <w:rsid w:val="00042FB5"/>
    <w:rsid w:val="00092087"/>
    <w:rsid w:val="000B214C"/>
    <w:rsid w:val="00115051"/>
    <w:rsid w:val="00122970"/>
    <w:rsid w:val="001F429D"/>
    <w:rsid w:val="0020701E"/>
    <w:rsid w:val="00223812"/>
    <w:rsid w:val="002418BC"/>
    <w:rsid w:val="002D0CB8"/>
    <w:rsid w:val="002E2462"/>
    <w:rsid w:val="003101B1"/>
    <w:rsid w:val="00351725"/>
    <w:rsid w:val="00351799"/>
    <w:rsid w:val="00352D8C"/>
    <w:rsid w:val="003742B6"/>
    <w:rsid w:val="003B4894"/>
    <w:rsid w:val="0043295B"/>
    <w:rsid w:val="004D4607"/>
    <w:rsid w:val="004F0054"/>
    <w:rsid w:val="005707C8"/>
    <w:rsid w:val="005723D0"/>
    <w:rsid w:val="00590A5E"/>
    <w:rsid w:val="005E5D85"/>
    <w:rsid w:val="006227A9"/>
    <w:rsid w:val="00652B77"/>
    <w:rsid w:val="00715570"/>
    <w:rsid w:val="00723C3B"/>
    <w:rsid w:val="00762D26"/>
    <w:rsid w:val="007E38CD"/>
    <w:rsid w:val="00815F02"/>
    <w:rsid w:val="00825AB9"/>
    <w:rsid w:val="00852441"/>
    <w:rsid w:val="008D45A0"/>
    <w:rsid w:val="00907423"/>
    <w:rsid w:val="00943D59"/>
    <w:rsid w:val="00943F2A"/>
    <w:rsid w:val="009514C5"/>
    <w:rsid w:val="00976E94"/>
    <w:rsid w:val="009B5724"/>
    <w:rsid w:val="009E41C8"/>
    <w:rsid w:val="00A648F8"/>
    <w:rsid w:val="00B0280C"/>
    <w:rsid w:val="00B3272B"/>
    <w:rsid w:val="00C61821"/>
    <w:rsid w:val="00C67281"/>
    <w:rsid w:val="00C94D33"/>
    <w:rsid w:val="00CC5269"/>
    <w:rsid w:val="00CE628A"/>
    <w:rsid w:val="00D11D45"/>
    <w:rsid w:val="00D46B9D"/>
    <w:rsid w:val="00D92D39"/>
    <w:rsid w:val="00DF26BC"/>
    <w:rsid w:val="00EB26C0"/>
    <w:rsid w:val="00ED723B"/>
    <w:rsid w:val="00EF4AB5"/>
    <w:rsid w:val="09232A3F"/>
    <w:rsid w:val="30A367EF"/>
    <w:rsid w:val="41681999"/>
    <w:rsid w:val="50B461A5"/>
    <w:rsid w:val="58C719DE"/>
    <w:rsid w:val="5CD8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1"/>
    <w:autoRedefine/>
    <w:qFormat/>
    <w:uiPriority w:val="0"/>
    <w:pPr>
      <w:widowControl/>
      <w:tabs>
        <w:tab w:val="left" w:pos="1021"/>
      </w:tabs>
      <w:spacing w:before="240" w:after="60"/>
      <w:ind w:left="1021" w:hanging="1021"/>
      <w:jc w:val="left"/>
      <w:outlineLvl w:val="4"/>
    </w:pPr>
    <w:rPr>
      <w:rFonts w:ascii="Times New Roman" w:hAnsi="Times New Roman" w:eastAsia="宋体" w:cs="Times New Roman"/>
      <w:kern w:val="0"/>
      <w:sz w:val="22"/>
      <w:szCs w:val="26"/>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4"/>
    <w:autoRedefine/>
    <w:qFormat/>
    <w:uiPriority w:val="1"/>
    <w:pPr>
      <w:spacing w:before="117"/>
      <w:ind w:left="105"/>
      <w:jc w:val="left"/>
    </w:pPr>
    <w:rPr>
      <w:rFonts w:ascii="宋体" w:hAnsi="宋体" w:eastAsia="宋体"/>
      <w:kern w:val="0"/>
      <w:szCs w:val="21"/>
      <w:lang w:eastAsia="en-US"/>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NormalCharacter"/>
    <w:autoRedefine/>
    <w:semiHidden/>
    <w:qFormat/>
    <w:uiPriority w:val="0"/>
  </w:style>
  <w:style w:type="paragraph" w:styleId="9">
    <w:name w:val="List Paragraph"/>
    <w:basedOn w:val="1"/>
    <w:link w:val="17"/>
    <w:autoRedefine/>
    <w:qFormat/>
    <w:uiPriority w:val="34"/>
    <w:pPr>
      <w:ind w:firstLine="420" w:firstLineChars="200"/>
    </w:pPr>
  </w:style>
  <w:style w:type="paragraph" w:customStyle="1" w:styleId="10">
    <w:name w:val="BodyText"/>
    <w:basedOn w:val="1"/>
    <w:autoRedefine/>
    <w:qFormat/>
    <w:uiPriority w:val="0"/>
    <w:pPr>
      <w:widowControl/>
      <w:spacing w:line="360" w:lineRule="auto"/>
      <w:ind w:right="277" w:rightChars="132"/>
      <w:textAlignment w:val="baseline"/>
    </w:pPr>
    <w:rPr>
      <w:rFonts w:ascii="仿宋_GB2312" w:hAnsi="Times New Roman" w:eastAsia="仿宋_GB2312" w:cs="Times New Roman"/>
      <w:kern w:val="0"/>
      <w:sz w:val="28"/>
      <w:szCs w:val="20"/>
    </w:rPr>
  </w:style>
  <w:style w:type="character" w:customStyle="1" w:styleId="11">
    <w:name w:val="标题 5 字符"/>
    <w:basedOn w:val="7"/>
    <w:link w:val="2"/>
    <w:autoRedefine/>
    <w:qFormat/>
    <w:uiPriority w:val="0"/>
    <w:rPr>
      <w:rFonts w:ascii="Times New Roman" w:hAnsi="Times New Roman" w:eastAsia="宋体" w:cs="Times New Roman"/>
      <w:kern w:val="0"/>
      <w:sz w:val="22"/>
      <w:szCs w:val="26"/>
    </w:rPr>
  </w:style>
  <w:style w:type="character" w:customStyle="1" w:styleId="12">
    <w:name w:val="页眉 字符"/>
    <w:basedOn w:val="7"/>
    <w:link w:val="5"/>
    <w:autoRedefine/>
    <w:qFormat/>
    <w:uiPriority w:val="99"/>
    <w:rPr>
      <w:sz w:val="18"/>
      <w:szCs w:val="18"/>
    </w:rPr>
  </w:style>
  <w:style w:type="character" w:customStyle="1" w:styleId="13">
    <w:name w:val="页脚 字符"/>
    <w:basedOn w:val="7"/>
    <w:link w:val="4"/>
    <w:autoRedefine/>
    <w:qFormat/>
    <w:uiPriority w:val="99"/>
    <w:rPr>
      <w:sz w:val="18"/>
      <w:szCs w:val="18"/>
    </w:rPr>
  </w:style>
  <w:style w:type="character" w:customStyle="1" w:styleId="14">
    <w:name w:val="正文文本 字符"/>
    <w:basedOn w:val="7"/>
    <w:link w:val="3"/>
    <w:autoRedefine/>
    <w:qFormat/>
    <w:uiPriority w:val="1"/>
    <w:rPr>
      <w:rFonts w:ascii="宋体" w:hAnsi="宋体" w:eastAsia="宋体"/>
      <w:kern w:val="0"/>
      <w:szCs w:val="21"/>
      <w:lang w:eastAsia="en-US"/>
    </w:rPr>
  </w:style>
  <w:style w:type="table" w:customStyle="1" w:styleId="15">
    <w:name w:val="Table Normal"/>
    <w:autoRedefine/>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16">
    <w:name w:val="Table Paragraph"/>
    <w:basedOn w:val="1"/>
    <w:autoRedefine/>
    <w:qFormat/>
    <w:uiPriority w:val="1"/>
    <w:pPr>
      <w:jc w:val="left"/>
    </w:pPr>
    <w:rPr>
      <w:kern w:val="0"/>
      <w:sz w:val="22"/>
      <w:lang w:eastAsia="en-US"/>
    </w:rPr>
  </w:style>
  <w:style w:type="character" w:customStyle="1" w:styleId="17">
    <w:name w:val="列表段落 字符"/>
    <w:link w:val="9"/>
    <w:autoRedefine/>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2882</Words>
  <Characters>3208</Characters>
  <Lines>24</Lines>
  <Paragraphs>6</Paragraphs>
  <TotalTime>139</TotalTime>
  <ScaleCrop>false</ScaleCrop>
  <LinksUpToDate>false</LinksUpToDate>
  <CharactersWithSpaces>3308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2023-05-29T02:50:00Z</dcterms:created>
  <dc:creator>庞 静</dc:creator>
  <cp:lastModifiedBy>刘辉</cp:lastModifiedBy>
  <dcterms:modified xsi:type="dcterms:W3CDTF">2024-03-27T06:14:07Z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FE5B2F47D64E44FF8607B8B883E6CF78_12</vt:lpwstr>
  </property>
</Properties>
</file>