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bookmarkStart w:id="0" w:name="_Toc340835920"/>
      <w:bookmarkStart w:id="1" w:name="_Toc340848603"/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bookmarkStart w:id="2" w:name="_Toc6222"/>
      <w:r>
        <w:rPr>
          <w:rFonts w:hint="eastAsia" w:ascii="微软雅黑" w:hAnsi="微软雅黑" w:eastAsia="微软雅黑" w:cs="微软雅黑"/>
          <w:sz w:val="44"/>
          <w:szCs w:val="44"/>
        </w:rPr>
        <w:t>黑猫电子招标采购交易平台</w:t>
      </w: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操作手册</w:t>
      </w:r>
      <w:bookmarkEnd w:id="2"/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bookmarkStart w:id="3" w:name="_Toc17955"/>
      <w:r>
        <w:rPr>
          <w:rFonts w:hint="eastAsia" w:ascii="微软雅黑" w:hAnsi="微软雅黑" w:eastAsia="微软雅黑" w:cs="微软雅黑"/>
          <w:sz w:val="44"/>
          <w:szCs w:val="44"/>
        </w:rPr>
        <w:t>供应商</w:t>
      </w:r>
      <w:bookmarkEnd w:id="3"/>
      <w:r>
        <w:rPr>
          <w:rFonts w:hint="eastAsia" w:ascii="微软雅黑" w:hAnsi="微软雅黑" w:eastAsia="微软雅黑" w:cs="微软雅黑"/>
          <w:sz w:val="44"/>
          <w:szCs w:val="44"/>
        </w:rPr>
        <w:t>购标、投标手册</w:t>
      </w: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</w:p>
    <w:p>
      <w:pPr>
        <w:ind w:firstLine="880" w:firstLineChars="200"/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bookmarkStart w:id="4" w:name="_Toc4183"/>
      <w:r>
        <w:rPr>
          <w:rFonts w:hint="eastAsia" w:ascii="微软雅黑" w:hAnsi="微软雅黑" w:eastAsia="微软雅黑" w:cs="微软雅黑"/>
          <w:sz w:val="44"/>
          <w:szCs w:val="44"/>
        </w:rPr>
        <w:t>景德镇黑猫咨询有限责任公司</w:t>
      </w:r>
    </w:p>
    <w:p>
      <w:pPr>
        <w:ind w:firstLine="880" w:firstLineChars="200"/>
        <w:jc w:val="center"/>
        <w:rPr>
          <w:rFonts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202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44"/>
          <w:szCs w:val="44"/>
        </w:rPr>
        <w:t>年</w:t>
      </w:r>
      <w:r>
        <w:rPr>
          <w:rFonts w:hint="eastAsia" w:ascii="微软雅黑" w:hAnsi="微软雅黑" w:eastAsia="微软雅黑" w:cs="微软雅黑"/>
          <w:sz w:val="44"/>
          <w:szCs w:val="44"/>
          <w:lang w:val="en-US" w:eastAsia="zh-CN"/>
        </w:rPr>
        <w:t>9</w:t>
      </w:r>
      <w:r>
        <w:rPr>
          <w:rFonts w:hint="eastAsia" w:ascii="微软雅黑" w:hAnsi="微软雅黑" w:eastAsia="微软雅黑" w:cs="微软雅黑"/>
          <w:sz w:val="44"/>
          <w:szCs w:val="44"/>
        </w:rPr>
        <w:t>月</w:t>
      </w:r>
      <w:bookmarkEnd w:id="4"/>
    </w:p>
    <w:p>
      <w:pPr>
        <w:pStyle w:val="32"/>
        <w:tabs>
          <w:tab w:val="right" w:leader="dot" w:pos="8312"/>
        </w:tabs>
        <w:ind w:left="0" w:leftChars="0"/>
        <w:rPr>
          <w:rFonts w:ascii="微软雅黑" w:hAnsi="微软雅黑" w:eastAsia="微软雅黑" w:cs="微软雅黑"/>
        </w:rPr>
      </w:pPr>
      <w:bookmarkStart w:id="5" w:name="_Toc1378"/>
    </w:p>
    <w:sdt>
      <w:sdtPr>
        <w:rPr>
          <w:rFonts w:hint="eastAsia" w:ascii="微软雅黑" w:hAnsi="微软雅黑" w:eastAsia="微软雅黑" w:cs="微软雅黑"/>
          <w:lang w:val="zh-CN"/>
        </w:rPr>
        <w:id w:val="1457759314"/>
        <w:docPartObj>
          <w:docPartGallery w:val="Table of Contents"/>
          <w:docPartUnique/>
        </w:docPartObj>
      </w:sdtPr>
      <w:sdtEndPr>
        <w:rPr>
          <w:rFonts w:hint="eastAsia" w:ascii="微软雅黑" w:hAnsi="微软雅黑" w:eastAsia="微软雅黑" w:cs="微软雅黑"/>
          <w:lang w:val="zh-CN"/>
        </w:rPr>
      </w:sdtEndPr>
      <w:sdtContent>
        <w:p>
          <w:pPr>
            <w:spacing w:line="240" w:lineRule="auto"/>
            <w:jc w:val="center"/>
          </w:pPr>
          <w:r>
            <w:rPr>
              <w:rFonts w:ascii="宋体" w:hAnsi="宋体" w:eastAsia="宋体"/>
              <w:sz w:val="21"/>
            </w:rPr>
            <w:t>目录</w:t>
          </w:r>
        </w:p>
        <w:p>
          <w:pPr>
            <w:pStyle w:val="14"/>
            <w:tabs>
              <w:tab w:val="right" w:leader="dot" w:pos="8312"/>
              <w:tab w:val="clear" w:pos="4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TOC \o "1-3" \h \z \u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fldChar w:fldCharType="begin"/>
          </w:r>
          <w:r>
            <w:rPr>
              <w:rFonts w:hint="eastAsia" w:ascii="微软雅黑" w:hAnsi="微软雅黑" w:eastAsia="微软雅黑" w:cs="微软雅黑"/>
            </w:rPr>
            <w:instrText xml:space="preserve"> HYPERLINK \l _Toc19970 </w:instrText>
          </w:r>
          <w:r>
            <w:rPr>
              <w:rFonts w:hint="eastAsia" w:ascii="微软雅黑" w:hAnsi="微软雅黑" w:eastAsia="微软雅黑" w:cs="微软雅黑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 查看公告信息</w:t>
          </w:r>
          <w:r>
            <w:tab/>
          </w:r>
          <w:r>
            <w:fldChar w:fldCharType="begin"/>
          </w:r>
          <w:r>
            <w:instrText xml:space="preserve"> PAGEREF _Toc19970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_Toc2723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1.1 查看公告</w:t>
          </w:r>
          <w:r>
            <w:tab/>
          </w:r>
          <w:r>
            <w:fldChar w:fldCharType="begin"/>
          </w:r>
          <w:r>
            <w:instrText xml:space="preserve"> PAGEREF _Toc2723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_Toc2548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1.2 用户登录</w:t>
          </w:r>
          <w:r>
            <w:tab/>
          </w:r>
          <w:r>
            <w:fldChar w:fldCharType="begin"/>
          </w:r>
          <w:r>
            <w:instrText xml:space="preserve"> PAGEREF _Toc2548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  <w:tab w:val="clear" w:pos="4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_Toc29523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 购标投标</w:t>
          </w:r>
          <w:r>
            <w:tab/>
          </w:r>
          <w:r>
            <w:fldChar w:fldCharType="begin"/>
          </w:r>
          <w:r>
            <w:instrText xml:space="preserve"> PAGEREF _Toc29523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_Toc11379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 报名</w:t>
          </w:r>
          <w:r>
            <w:tab/>
          </w:r>
          <w:r>
            <w:fldChar w:fldCharType="begin"/>
          </w:r>
          <w:r>
            <w:instrText xml:space="preserve"> PAGEREF _Toc11379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_Toc24525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2.1.1 供应商桌面</w:t>
          </w:r>
          <w:r>
            <w:tab/>
          </w:r>
          <w:r>
            <w:fldChar w:fldCharType="begin"/>
          </w:r>
          <w:r>
            <w:instrText xml:space="preserve"> PAGEREF _Toc24525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_Toc11841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2.1.2 项目信息查询</w:t>
          </w:r>
          <w:r>
            <w:tab/>
          </w:r>
          <w:r>
            <w:fldChar w:fldCharType="begin"/>
          </w:r>
          <w:r>
            <w:instrText xml:space="preserve"> PAGEREF _Toc11841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_Toc15177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2.1.3 供应商报名</w:t>
          </w:r>
          <w:r>
            <w:tab/>
          </w:r>
          <w:r>
            <w:fldChar w:fldCharType="begin"/>
          </w:r>
          <w:r>
            <w:instrText xml:space="preserve"> PAGEREF _Toc15177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_Toc21812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2.1.4 提交报名</w:t>
          </w:r>
          <w:r>
            <w:tab/>
          </w:r>
          <w:r>
            <w:fldChar w:fldCharType="begin"/>
          </w:r>
          <w:r>
            <w:instrText xml:space="preserve"> PAGEREF _Toc21812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_Toc1504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2.2 公告查看</w:t>
          </w:r>
          <w:r>
            <w:tab/>
          </w:r>
          <w:r>
            <w:fldChar w:fldCharType="begin"/>
          </w:r>
          <w:r>
            <w:instrText xml:space="preserve"> PAGEREF _Toc1504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_Toc29770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 标书费</w:t>
          </w:r>
          <w:r>
            <w:tab/>
          </w:r>
          <w:r>
            <w:fldChar w:fldCharType="begin"/>
          </w:r>
          <w:r>
            <w:instrText xml:space="preserve"> PAGEREF _Toc29770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_Toc29871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2.3.1 购物车结算</w:t>
          </w:r>
          <w:r>
            <w:tab/>
          </w:r>
          <w:r>
            <w:fldChar w:fldCharType="begin"/>
          </w:r>
          <w:r>
            <w:instrText xml:space="preserve"> PAGEREF _Toc29871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_Toc27075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2.3.2 创建提交订单</w:t>
          </w:r>
          <w:r>
            <w:tab/>
          </w:r>
          <w:r>
            <w:fldChar w:fldCharType="begin"/>
          </w:r>
          <w:r>
            <w:instrText xml:space="preserve"> PAGEREF _Toc27075 \h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_Toc23598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2.3.3 网上支付</w:t>
          </w:r>
          <w:r>
            <w:tab/>
          </w:r>
          <w:r>
            <w:fldChar w:fldCharType="begin"/>
          </w:r>
          <w:r>
            <w:instrText xml:space="preserve"> PAGEREF _Toc23598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_Toc12962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2.4 保证金缴纳</w:t>
          </w:r>
          <w:r>
            <w:tab/>
          </w:r>
          <w:r>
            <w:fldChar w:fldCharType="begin"/>
          </w:r>
          <w:r>
            <w:instrText xml:space="preserve"> PAGEREF _Toc12962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_Toc32279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2.4.1 保证金缴纳</w:t>
          </w:r>
          <w:r>
            <w:tab/>
          </w:r>
          <w:r>
            <w:fldChar w:fldCharType="begin"/>
          </w:r>
          <w:r>
            <w:instrText xml:space="preserve"> PAGEREF _Toc32279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_Toc26489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2.4.2 创建提交订单</w:t>
          </w:r>
          <w:r>
            <w:tab/>
          </w:r>
          <w:r>
            <w:fldChar w:fldCharType="begin"/>
          </w:r>
          <w:r>
            <w:instrText xml:space="preserve"> PAGEREF _Toc26489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_Toc24453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2.5 标书和技术支持资料下载</w:t>
          </w:r>
          <w:r>
            <w:tab/>
          </w:r>
          <w:r>
            <w:fldChar w:fldCharType="begin"/>
          </w:r>
          <w:r>
            <w:instrText xml:space="preserve"> PAGEREF _Toc24453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_Toc21625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2.5.1 文件下载</w:t>
          </w:r>
          <w:r>
            <w:tab/>
          </w:r>
          <w:r>
            <w:fldChar w:fldCharType="begin"/>
          </w:r>
          <w:r>
            <w:instrText xml:space="preserve"> PAGEREF _Toc21625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1"/>
            <w:tabs>
              <w:tab w:val="right" w:leader="dot" w:pos="8312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_Toc12613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2.5.2 标前质疑</w:t>
          </w:r>
          <w:r>
            <w:tab/>
          </w:r>
          <w:r>
            <w:fldChar w:fldCharType="begin"/>
          </w:r>
          <w:r>
            <w:instrText xml:space="preserve"> PAGEREF _Toc12613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_Toc12056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2.6 项目澄清</w:t>
          </w:r>
          <w:r>
            <w:tab/>
          </w:r>
          <w:r>
            <w:fldChar w:fldCharType="begin"/>
          </w:r>
          <w:r>
            <w:instrText xml:space="preserve"> PAGEREF _Toc12056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_Toc25450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2.7 投标</w:t>
          </w:r>
          <w:r>
            <w:tab/>
          </w:r>
          <w:r>
            <w:fldChar w:fldCharType="begin"/>
          </w:r>
          <w:r>
            <w:instrText xml:space="preserve"> PAGEREF _Toc25450 \h </w:instrText>
          </w:r>
          <w:r>
            <w:fldChar w:fldCharType="separate"/>
          </w:r>
          <w:r>
            <w:t>18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_Toc15818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  <w:lang w:val="en-US" w:eastAsia="zh-CN"/>
            </w:rPr>
            <w:t>2.8 解密</w:t>
          </w:r>
          <w:r>
            <w:tab/>
          </w:r>
          <w:r>
            <w:fldChar w:fldCharType="begin"/>
          </w:r>
          <w:r>
            <w:instrText xml:space="preserve"> PAGEREF _Toc15818 \h </w:instrText>
          </w:r>
          <w:r>
            <w:fldChar w:fldCharType="separate"/>
          </w:r>
          <w:r>
            <w:t>19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_Toc1684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2.9 中标结果</w:t>
          </w:r>
          <w:r>
            <w:tab/>
          </w:r>
          <w:r>
            <w:fldChar w:fldCharType="begin"/>
          </w:r>
          <w:r>
            <w:instrText xml:space="preserve"> PAGEREF _Toc1684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5"/>
            <w:tabs>
              <w:tab w:val="right" w:leader="dot" w:pos="8312"/>
              <w:tab w:val="clear" w:pos="8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_Toc10915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2.10 结果公示</w:t>
          </w:r>
          <w:r>
            <w:tab/>
          </w:r>
          <w:r>
            <w:fldChar w:fldCharType="begin"/>
          </w:r>
          <w:r>
            <w:instrText xml:space="preserve"> PAGEREF _Toc10915 \h </w:instrText>
          </w:r>
          <w:r>
            <w:fldChar w:fldCharType="separate"/>
          </w:r>
          <w:r>
            <w:t>21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pStyle w:val="14"/>
            <w:tabs>
              <w:tab w:val="right" w:leader="dot" w:pos="8312"/>
              <w:tab w:val="clear" w:pos="440"/>
              <w:tab w:val="clear" w:pos="8296"/>
            </w:tabs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begin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instrText xml:space="preserve"> HYPERLINK \l _Toc28834 </w:instrText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separate"/>
          </w:r>
          <w:r>
            <w:rPr>
              <w:rFonts w:hint="eastAsia" w:ascii="微软雅黑" w:hAnsi="微软雅黑" w:eastAsia="微软雅黑" w:cs="微软雅黑"/>
            </w:rPr>
            <w:t>3 技术支持</w:t>
          </w:r>
          <w:r>
            <w:tab/>
          </w:r>
          <w:r>
            <w:fldChar w:fldCharType="begin"/>
          </w:r>
          <w:r>
            <w:instrText xml:space="preserve"> PAGEREF _Toc28834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  <w:p>
          <w:pPr>
            <w:rPr>
              <w:rFonts w:ascii="微软雅黑" w:hAnsi="微软雅黑" w:eastAsia="微软雅黑" w:cs="微软雅黑"/>
            </w:rPr>
          </w:pPr>
          <w:r>
            <w:rPr>
              <w:rFonts w:hint="eastAsia" w:ascii="微软雅黑" w:hAnsi="微软雅黑" w:eastAsia="微软雅黑" w:cs="微软雅黑"/>
              <w:bCs/>
              <w:lang w:val="zh-CN"/>
            </w:rPr>
            <w:fldChar w:fldCharType="end"/>
          </w:r>
        </w:p>
      </w:sdtContent>
    </w:sdt>
    <w:p>
      <w:pPr>
        <w:pStyle w:val="32"/>
        <w:tabs>
          <w:tab w:val="right" w:leader="dot" w:pos="8312"/>
        </w:tabs>
        <w:ind w:left="480"/>
        <w:rPr>
          <w:rFonts w:ascii="微软雅黑" w:hAnsi="微软雅黑" w:eastAsia="微软雅黑" w:cs="微软雅黑"/>
        </w:rPr>
      </w:pPr>
    </w:p>
    <w:bookmarkEnd w:id="0"/>
    <w:bookmarkEnd w:id="1"/>
    <w:bookmarkEnd w:id="5"/>
    <w:p>
      <w:pPr>
        <w:pStyle w:val="2"/>
        <w:ind w:left="659" w:hanging="659"/>
        <w:rPr>
          <w:rFonts w:ascii="微软雅黑" w:hAnsi="微软雅黑" w:eastAsia="微软雅黑" w:cs="微软雅黑"/>
        </w:rPr>
      </w:pPr>
      <w:bookmarkStart w:id="6" w:name="_Toc19970"/>
      <w:r>
        <w:rPr>
          <w:rFonts w:hint="eastAsia" w:ascii="微软雅黑" w:hAnsi="微软雅黑" w:eastAsia="微软雅黑" w:cs="微软雅黑"/>
        </w:rPr>
        <w:t>查看公告信息</w:t>
      </w:r>
      <w:bookmarkEnd w:id="6"/>
    </w:p>
    <w:p>
      <w:pPr>
        <w:ind w:firstLine="480" w:firstLineChars="20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推荐网络浏览器：</w:t>
      </w:r>
    </w:p>
    <w:p>
      <w:pPr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Google Chrome(谷歌浏览器)、Internet Explorer 11（IE 11浏览器）</w:t>
      </w:r>
    </w:p>
    <w:p>
      <w:pPr>
        <w:pStyle w:val="3"/>
        <w:spacing w:before="163" w:after="163"/>
        <w:ind w:left="771" w:hanging="771"/>
        <w:rPr>
          <w:rFonts w:ascii="微软雅黑" w:hAnsi="微软雅黑" w:eastAsia="微软雅黑" w:cs="微软雅黑"/>
        </w:rPr>
      </w:pPr>
      <w:bookmarkStart w:id="7" w:name="_Toc2723"/>
      <w:r>
        <w:rPr>
          <w:rFonts w:hint="eastAsia" w:ascii="微软雅黑" w:hAnsi="微软雅黑" w:eastAsia="微软雅黑" w:cs="微软雅黑"/>
        </w:rPr>
        <w:t>查看公告</w:t>
      </w:r>
      <w:bookmarkEnd w:id="7"/>
    </w:p>
    <w:p>
      <w:pPr>
        <w:ind w:firstLine="420"/>
        <w:rPr>
          <w:rFonts w:ascii="微软雅黑" w:hAnsi="微软雅黑" w:eastAsia="微软雅黑" w:cs="微软雅黑"/>
          <w:szCs w:val="24"/>
        </w:rPr>
      </w:pPr>
      <w:r>
        <w:rPr>
          <w:rFonts w:hint="eastAsia" w:ascii="微软雅黑" w:hAnsi="微软雅黑" w:eastAsia="微软雅黑" w:cs="微软雅黑"/>
          <w:szCs w:val="24"/>
        </w:rPr>
        <w:t>访问网站（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www.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instrText xml:space="preserve"> HYPERLINK "http://www.hmjtztb.com/" </w:instrTex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hmjtztb.com)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  <w:szCs w:val="24"/>
        </w:rPr>
        <w:t xml:space="preserve">查看招标公告信息。其界面如下图所示： 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7960" cy="2880360"/>
            <wp:effectExtent l="0" t="0" r="5080" b="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880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ind w:left="773" w:hanging="773"/>
        <w:rPr>
          <w:rFonts w:ascii="微软雅黑" w:hAnsi="微软雅黑" w:eastAsia="微软雅黑" w:cs="微软雅黑"/>
        </w:rPr>
      </w:pPr>
      <w:bookmarkStart w:id="8" w:name="_Toc30763_WPSOffice_Level1"/>
      <w:bookmarkStart w:id="9" w:name="_Toc21858"/>
      <w:bookmarkStart w:id="10" w:name="_Toc340848617"/>
      <w:bookmarkStart w:id="11" w:name="_Toc13425_WPSOffice_Level1"/>
      <w:bookmarkStart w:id="12" w:name="_Toc2548"/>
      <w:r>
        <w:rPr>
          <w:rFonts w:hint="eastAsia" w:ascii="微软雅黑" w:hAnsi="微软雅黑" w:eastAsia="微软雅黑" w:cs="微软雅黑"/>
        </w:rPr>
        <w:t>用户登录</w:t>
      </w:r>
      <w:bookmarkEnd w:id="8"/>
      <w:bookmarkEnd w:id="9"/>
      <w:bookmarkEnd w:id="10"/>
      <w:bookmarkEnd w:id="11"/>
      <w:bookmarkEnd w:id="12"/>
    </w:p>
    <w:p>
      <w:pPr>
        <w:pStyle w:val="31"/>
        <w:numPr>
          <w:ilvl w:val="0"/>
          <w:numId w:val="2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在网站（</w:t>
      </w:r>
      <w:r>
        <w:rPr>
          <w:rFonts w:ascii="微软雅黑" w:hAnsi="微软雅黑" w:eastAsia="微软雅黑" w:cs="微软雅黑"/>
          <w:szCs w:val="24"/>
        </w:rPr>
        <w:t>http://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www.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begin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instrText xml:space="preserve"> HYPERLINK "http://www.hmjtztb.com/" </w:instrTex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separate"/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t>hmjtztb.com)</w:t>
      </w:r>
      <w:r>
        <w:rPr>
          <w:rFonts w:hint="eastAsia" w:ascii="微软雅黑" w:hAnsi="微软雅黑" w:eastAsia="微软雅黑" w:cs="微软雅黑"/>
          <w:szCs w:val="24"/>
          <w:lang w:val="en-US" w:eastAsia="zh-CN"/>
        </w:rPr>
        <w:fldChar w:fldCharType="end"/>
      </w:r>
      <w:r>
        <w:rPr>
          <w:rFonts w:hint="eastAsia" w:ascii="微软雅黑" w:hAnsi="微软雅黑" w:eastAsia="微软雅黑" w:cs="微软雅黑"/>
        </w:rPr>
        <w:t>）点击供应商登录。如下图所示：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9230" cy="2760345"/>
            <wp:effectExtent l="0" t="0" r="3810" b="13335"/>
            <wp:docPr id="5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2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760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2"/>
        </w:numPr>
        <w:ind w:firstLineChars="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输入用户名和密码登录。如下图所示：</w:t>
      </w:r>
    </w:p>
    <w:p>
      <w:pPr>
        <w:pStyle w:val="3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5580" cy="2392045"/>
            <wp:effectExtent l="0" t="0" r="12700" b="635"/>
            <wp:docPr id="1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2"/>
        </w:numPr>
        <w:ind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CA登录如下图：</w:t>
      </w:r>
    </w:p>
    <w:p>
      <w:pPr>
        <w:pStyle w:val="31"/>
        <w:numPr>
          <w:ilvl w:val="0"/>
          <w:numId w:val="0"/>
        </w:numPr>
        <w:ind w:left="420" w:leftChars="0"/>
      </w:pPr>
      <w:r>
        <w:drawing>
          <wp:inline distT="0" distB="0" distL="114300" distR="114300">
            <wp:extent cx="5278120" cy="2406650"/>
            <wp:effectExtent l="0" t="0" r="10160" b="1270"/>
            <wp:docPr id="2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40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1"/>
        <w:numPr>
          <w:ilvl w:val="0"/>
          <w:numId w:val="2"/>
        </w:numPr>
        <w:ind w:firstLineChars="0"/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登录成功</w:t>
      </w:r>
    </w:p>
    <w:p>
      <w:pPr>
        <w:pStyle w:val="31"/>
        <w:numPr>
          <w:ilvl w:val="0"/>
          <w:numId w:val="0"/>
        </w:numPr>
        <w:ind w:left="420" w:leftChars="0"/>
        <w:rPr>
          <w:rFonts w:hint="default" w:ascii="微软雅黑" w:hAnsi="微软雅黑" w:eastAsia="微软雅黑" w:cs="微软雅黑"/>
          <w:lang w:val="en-US" w:eastAsia="zh-CN"/>
        </w:rPr>
      </w:pPr>
      <w:r>
        <w:drawing>
          <wp:inline distT="0" distB="0" distL="114300" distR="114300">
            <wp:extent cx="5271135" cy="2579370"/>
            <wp:effectExtent l="0" t="0" r="1905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7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rFonts w:ascii="微软雅黑" w:hAnsi="微软雅黑" w:eastAsia="微软雅黑" w:cs="微软雅黑"/>
        </w:rPr>
      </w:pPr>
      <w:bookmarkStart w:id="13" w:name="_Toc29523"/>
      <w:r>
        <w:rPr>
          <w:rFonts w:hint="eastAsia" w:ascii="微软雅黑" w:hAnsi="微软雅黑" w:eastAsia="微软雅黑" w:cs="微软雅黑"/>
        </w:rPr>
        <w:t>购标投标</w:t>
      </w:r>
      <w:bookmarkEnd w:id="13"/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bookmarkStart w:id="14" w:name="_Toc11379"/>
      <w:bookmarkStart w:id="15" w:name="_Toc2091"/>
      <w:bookmarkStart w:id="16" w:name="_Toc340848694"/>
      <w:r>
        <w:rPr>
          <w:rFonts w:hint="eastAsia" w:ascii="微软雅黑" w:hAnsi="微软雅黑" w:eastAsia="微软雅黑" w:cs="微软雅黑"/>
        </w:rPr>
        <w:t>报名</w:t>
      </w:r>
      <w:bookmarkEnd w:id="14"/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17" w:name="_Toc24525"/>
      <w:r>
        <w:rPr>
          <w:rFonts w:hint="eastAsia" w:ascii="微软雅黑" w:hAnsi="微软雅黑" w:eastAsia="微软雅黑" w:cs="微软雅黑"/>
        </w:rPr>
        <w:t>供应商桌面</w:t>
      </w:r>
      <w:bookmarkEnd w:id="17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供应商的首页界面，点击我要报名，项目列表中招标的项目进行报名，如下图所示：</w:t>
      </w:r>
      <w:bookmarkEnd w:id="15"/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66055" cy="2573020"/>
            <wp:effectExtent l="0" t="0" r="6985" b="254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573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18" w:name="_Toc11841"/>
      <w:bookmarkStart w:id="19" w:name="_Toc9738"/>
      <w:r>
        <w:rPr>
          <w:rFonts w:hint="eastAsia" w:ascii="微软雅黑" w:hAnsi="微软雅黑" w:eastAsia="微软雅黑" w:cs="微软雅黑"/>
        </w:rPr>
        <w:t>项目信息查询</w:t>
      </w:r>
      <w:bookmarkEnd w:id="18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1、</w:t>
      </w:r>
      <w:r>
        <w:rPr>
          <w:rFonts w:hint="eastAsia" w:ascii="微软雅黑" w:hAnsi="微软雅黑" w:eastAsia="微软雅黑" w:cs="微软雅黑"/>
          <w:color w:val="FF0000"/>
        </w:rPr>
        <w:t>若为公开形式的</w:t>
      </w:r>
      <w:r>
        <w:rPr>
          <w:rFonts w:hint="eastAsia" w:ascii="微软雅黑" w:hAnsi="微软雅黑" w:eastAsia="微软雅黑" w:cs="微软雅黑"/>
        </w:rPr>
        <w:t>：项目列表中，可根据项目名称、项目编号进行查询，找到需要的项目，点击报名。如下图所示：</w:t>
      </w:r>
      <w:bookmarkEnd w:id="19"/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5580" cy="2704465"/>
            <wp:effectExtent l="0" t="0" r="12700" b="825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70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2、</w:t>
      </w:r>
      <w:r>
        <w:rPr>
          <w:rFonts w:hint="eastAsia" w:ascii="微软雅黑" w:hAnsi="微软雅黑" w:eastAsia="微软雅黑" w:cs="微软雅黑"/>
          <w:color w:val="FF0000"/>
        </w:rPr>
        <w:t>若为邀请形式的</w:t>
      </w:r>
      <w:r>
        <w:rPr>
          <w:rFonts w:hint="eastAsia" w:ascii="微软雅黑" w:hAnsi="微软雅黑" w:eastAsia="微软雅黑" w:cs="微软雅黑"/>
        </w:rPr>
        <w:t>：项目列表中，可根据项目名称、项目编号进行查询，找到需要的项目，点击接受邀请函。如下图所示：</w:t>
      </w:r>
    </w:p>
    <w:p>
      <w:r>
        <w:drawing>
          <wp:inline distT="0" distB="0" distL="114300" distR="114300">
            <wp:extent cx="5268595" cy="1337310"/>
            <wp:effectExtent l="0" t="0" r="4445" b="381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3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供应商进行邀请函响应、是否接受邀请（必须选择）、邀请函回执上传，</w:t>
      </w:r>
    </w:p>
    <w:p>
      <w:r>
        <w:drawing>
          <wp:inline distT="0" distB="0" distL="114300" distR="114300">
            <wp:extent cx="5272405" cy="2627630"/>
            <wp:effectExtent l="0" t="0" r="635" b="8890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627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8595" cy="1577340"/>
            <wp:effectExtent l="0" t="0" r="4445" b="762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57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20" w:name="_Toc15177"/>
      <w:bookmarkStart w:id="21" w:name="_Toc11079"/>
      <w:r>
        <w:rPr>
          <w:rFonts w:hint="eastAsia" w:ascii="微软雅黑" w:hAnsi="微软雅黑" w:eastAsia="微软雅黑" w:cs="微软雅黑"/>
        </w:rPr>
        <w:t>供应商报名</w:t>
      </w:r>
      <w:bookmarkEnd w:id="20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填写相关信息，选择需要报名的分包，点击报名。如下图所示：</w:t>
      </w:r>
      <w:bookmarkEnd w:id="21"/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4945" cy="2586990"/>
            <wp:effectExtent l="0" t="0" r="13335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2586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2" w:name="_Toc21812"/>
      <w:r>
        <w:rPr>
          <w:rFonts w:hint="eastAsia" w:ascii="微软雅黑" w:hAnsi="微软雅黑" w:eastAsia="微软雅黑" w:cs="微软雅黑"/>
        </w:rPr>
        <w:t>提交报名</w:t>
      </w:r>
      <w:bookmarkEnd w:id="22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在弹出的提示页面中点击确定按钮，进行缴费等后续操作。如下图所示：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7485" cy="2698115"/>
            <wp:effectExtent l="0" t="0" r="10795" b="14605"/>
            <wp:docPr id="1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2698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drawing>
          <wp:inline distT="0" distB="0" distL="0" distR="0">
            <wp:extent cx="2019300" cy="870585"/>
            <wp:effectExtent l="19050" t="19050" r="19050" b="2476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20"/>
                    <a:srcRect l="24647" t="35956" r="37068" b="33857"/>
                    <a:stretch>
                      <a:fillRect/>
                    </a:stretch>
                  </pic:blipFill>
                  <pic:spPr>
                    <a:xfrm>
                      <a:off x="0" y="0"/>
                      <a:ext cx="2020706" cy="871789"/>
                    </a:xfrm>
                    <a:prstGeom prst="rect">
                      <a:avLst/>
                    </a:prstGeom>
                    <a:ln w="254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bookmarkStart w:id="23" w:name="_Toc1504"/>
      <w:r>
        <w:rPr>
          <w:rFonts w:hint="eastAsia" w:ascii="微软雅黑" w:hAnsi="微软雅黑" w:eastAsia="微软雅黑" w:cs="微软雅黑"/>
        </w:rPr>
        <w:t>公告查看</w:t>
      </w:r>
      <w:bookmarkEnd w:id="2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供应商可以查看采购公告的信息，如图所示：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114300" distR="114300">
            <wp:extent cx="5271770" cy="2596515"/>
            <wp:effectExtent l="0" t="0" r="1270" b="9525"/>
            <wp:docPr id="11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bookmarkStart w:id="24" w:name="_Toc29770"/>
      <w:bookmarkStart w:id="25" w:name="_Toc305"/>
      <w:r>
        <w:rPr>
          <w:rFonts w:hint="eastAsia" w:ascii="微软雅黑" w:hAnsi="微软雅黑" w:eastAsia="微软雅黑" w:cs="微软雅黑"/>
        </w:rPr>
        <w:t>标书费</w:t>
      </w:r>
      <w:bookmarkEnd w:id="24"/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6" w:name="_Toc29871"/>
      <w:r>
        <w:rPr>
          <w:rFonts w:hint="eastAsia" w:ascii="微软雅黑" w:hAnsi="微软雅黑" w:eastAsia="微软雅黑" w:cs="微软雅黑"/>
        </w:rPr>
        <w:t>购物车结算</w:t>
      </w:r>
      <w:bookmarkEnd w:id="26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在导航栏的标书费节点，点击购物车按钮，选择缴费的分包，点击结算。如下图所示：</w:t>
      </w:r>
      <w:bookmarkEnd w:id="25"/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8120" cy="2644775"/>
            <wp:effectExtent l="0" t="0" r="10160" b="698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22"/>
                    <a:srcRect t="14547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4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7" w:name="_Toc27075"/>
      <w:r>
        <w:rPr>
          <w:rFonts w:hint="eastAsia" w:ascii="微软雅黑" w:hAnsi="微软雅黑" w:eastAsia="微软雅黑" w:cs="微软雅黑"/>
        </w:rPr>
        <w:t>创建提交订单</w:t>
      </w:r>
      <w:bookmarkEnd w:id="27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在订单栏目中，选择支付方式、开票类型并填写开票信息，然后点击提交订单。如下图所示：</w:t>
      </w:r>
    </w:p>
    <w:p>
      <w:r>
        <w:drawing>
          <wp:inline distT="0" distB="0" distL="0" distR="0">
            <wp:extent cx="5278120" cy="2609850"/>
            <wp:effectExtent l="0" t="0" r="10160" b="1143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3"/>
                    <a:srcRect t="1567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8120" cy="1590675"/>
            <wp:effectExtent l="0" t="0" r="1016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4"/>
                    <a:srcRect t="2311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等待管理员进行支付缴费确认，此时该标书费的订单转态变为已支付。</w:t>
      </w:r>
    </w:p>
    <w:p>
      <w:pPr>
        <w:rPr>
          <w:rFonts w:ascii="微软雅黑" w:hAnsi="微软雅黑" w:eastAsia="微软雅黑" w:cs="微软雅黑"/>
        </w:rPr>
      </w:pPr>
      <w:r>
        <w:drawing>
          <wp:inline distT="0" distB="0" distL="0" distR="0">
            <wp:extent cx="5278120" cy="1587500"/>
            <wp:effectExtent l="0" t="0" r="10160" b="1270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5"/>
                    <a:srcRect t="22625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8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bookmarkStart w:id="28" w:name="_Toc23598"/>
      <w:r>
        <w:rPr>
          <w:rFonts w:hint="eastAsia" w:ascii="微软雅黑" w:hAnsi="微软雅黑" w:eastAsia="微软雅黑" w:cs="微软雅黑"/>
        </w:rPr>
        <w:t>网上支付</w:t>
      </w:r>
      <w:bookmarkEnd w:id="28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选择网上支付，在新弹出的支付页面完成支付，如未弹出，请关闭浏览器的广告拦截和弹出窗口拦截。</w:t>
      </w:r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29" w:name="_Toc12962"/>
      <w:r>
        <w:rPr>
          <w:rFonts w:hint="eastAsia" w:ascii="微软雅黑" w:hAnsi="微软雅黑" w:eastAsia="微软雅黑" w:cs="微软雅黑"/>
        </w:rPr>
        <w:t>保证金缴纳</w:t>
      </w:r>
      <w:bookmarkEnd w:id="29"/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0" w:name="_Toc32279"/>
      <w:r>
        <w:rPr>
          <w:rFonts w:hint="eastAsia" w:ascii="微软雅黑" w:hAnsi="微软雅黑" w:eastAsia="微软雅黑" w:cs="微软雅黑"/>
        </w:rPr>
        <w:t>保证金缴纳</w:t>
      </w:r>
      <w:bookmarkEnd w:id="30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在导航栏的保证金节点，点击购物车按钮，选择缴费的分包，点击结算。如下图所示：</w:t>
      </w:r>
    </w:p>
    <w:p>
      <w:r>
        <w:drawing>
          <wp:inline distT="0" distB="0" distL="0" distR="0">
            <wp:extent cx="5278120" cy="1514475"/>
            <wp:effectExtent l="0" t="0" r="1016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6"/>
                    <a:srcRect t="23729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1" w:name="_Toc26489"/>
      <w:r>
        <w:rPr>
          <w:rFonts w:hint="eastAsia" w:ascii="微软雅黑" w:hAnsi="微软雅黑" w:eastAsia="微软雅黑" w:cs="微软雅黑"/>
        </w:rPr>
        <w:t>创建提交订单</w:t>
      </w:r>
      <w:bookmarkEnd w:id="31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在支付信息中选择支付方式，然后点击提交订单。如下图所示：</w:t>
      </w:r>
    </w:p>
    <w:p>
      <w:r>
        <w:drawing>
          <wp:inline distT="0" distB="0" distL="0" distR="0">
            <wp:extent cx="5278120" cy="1886585"/>
            <wp:effectExtent l="0" t="0" r="10160" b="3175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7"/>
                    <a:srcRect t="961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8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eastAsia="微软雅黑"/>
        </w:rPr>
      </w:pPr>
      <w:r>
        <w:rPr>
          <w:rFonts w:hint="eastAsia" w:ascii="微软雅黑" w:hAnsi="微软雅黑" w:eastAsia="微软雅黑" w:cs="微软雅黑"/>
        </w:rPr>
        <w:t>提交订单后显示的界面，如图所示：</w:t>
      </w:r>
    </w:p>
    <w:p>
      <w:r>
        <w:drawing>
          <wp:inline distT="0" distB="0" distL="0" distR="0">
            <wp:extent cx="5278120" cy="1807210"/>
            <wp:effectExtent l="0" t="0" r="10160" b="635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/>
                    <pic:cNvPicPr>
                      <a:picLocks noChangeAspect="1"/>
                    </pic:cNvPicPr>
                  </pic:nvPicPr>
                  <pic:blipFill>
                    <a:blip r:embed="rId28"/>
                    <a:srcRect t="1064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6"/>
    <w:p>
      <w:pPr>
        <w:pStyle w:val="4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2" w:name="_Toc12613"/>
      <w:r>
        <w:rPr>
          <w:rFonts w:hint="eastAsia" w:ascii="微软雅黑" w:hAnsi="微软雅黑" w:eastAsia="微软雅黑" w:cs="微软雅黑"/>
        </w:rPr>
        <w:t>标前质疑</w:t>
      </w:r>
      <w:bookmarkEnd w:id="32"/>
    </w:p>
    <w:p>
      <w:pPr>
        <w:ind w:firstLine="480" w:firstLineChars="200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可以新增标签质疑信息，如图所示：</w:t>
      </w:r>
    </w:p>
    <w:p>
      <w:r>
        <w:drawing>
          <wp:inline distT="0" distB="0" distL="0" distR="0">
            <wp:extent cx="5278120" cy="1488440"/>
            <wp:effectExtent l="0" t="0" r="10160" b="508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29"/>
                    <a:srcRect t="1398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48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编辑标前质疑信息：</w:t>
      </w:r>
    </w:p>
    <w:p>
      <w:r>
        <w:drawing>
          <wp:inline distT="0" distB="0" distL="0" distR="0">
            <wp:extent cx="5278120" cy="2263140"/>
            <wp:effectExtent l="0" t="0" r="10160" b="762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/>
                    </pic:cNvPicPr>
                  </pic:nvPicPr>
                  <pic:blipFill>
                    <a:blip r:embed="rId30"/>
                    <a:srcRect t="9174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进行提交过之后的图例，如图所示：</w:t>
      </w:r>
    </w:p>
    <w:p>
      <w:r>
        <w:drawing>
          <wp:inline distT="0" distB="0" distL="0" distR="0">
            <wp:extent cx="5278120" cy="1727835"/>
            <wp:effectExtent l="0" t="0" r="10160" b="952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31"/>
                    <a:srcRect t="10728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1727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3" w:name="_Toc12056"/>
      <w:r>
        <w:rPr>
          <w:rFonts w:hint="eastAsia" w:ascii="微软雅黑" w:hAnsi="微软雅黑" w:eastAsia="微软雅黑" w:cs="微软雅黑"/>
        </w:rPr>
        <w:t>项目澄清</w:t>
      </w:r>
      <w:bookmarkEnd w:id="33"/>
    </w:p>
    <w:p>
      <w:pPr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>经办人新增项目澄清后，供应商在项目澄清节点可以直接看到新增的信息，如图所示：</w:t>
      </w:r>
    </w:p>
    <w:p>
      <w:r>
        <w:drawing>
          <wp:inline distT="0" distB="0" distL="0" distR="0">
            <wp:extent cx="5278120" cy="2610485"/>
            <wp:effectExtent l="0" t="0" r="10160" b="10795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32"/>
                    <a:srcRect l="-132" t="15429" r="132" b="226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610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4" w:name="_Toc25450"/>
      <w:r>
        <w:rPr>
          <w:rFonts w:hint="eastAsia" w:ascii="微软雅黑" w:hAnsi="微软雅黑" w:eastAsia="微软雅黑" w:cs="微软雅黑"/>
        </w:rPr>
        <w:t>投标</w:t>
      </w:r>
      <w:bookmarkEnd w:id="34"/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填写报价单</w:t>
      </w:r>
    </w:p>
    <w:p>
      <w:pPr>
        <w:rPr>
          <w:rFonts w:hint="default" w:ascii="微软雅黑" w:hAnsi="微软雅黑" w:eastAsia="微软雅黑" w:cs="微软雅黑"/>
          <w:lang w:val="en-US" w:eastAsia="zh-CN"/>
        </w:rPr>
      </w:pPr>
      <w:r>
        <w:rPr>
          <w:rFonts w:hint="eastAsia" w:ascii="微软雅黑" w:hAnsi="微软雅黑" w:eastAsia="微软雅黑" w:cs="微软雅黑"/>
          <w:lang w:val="en-US" w:eastAsia="zh-CN"/>
        </w:rPr>
        <w:t>填写报价单，</w:t>
      </w:r>
      <w:r>
        <w:rPr>
          <w:rFonts w:hint="eastAsia" w:ascii="微软雅黑" w:hAnsi="微软雅黑" w:eastAsia="微软雅黑" w:cs="微软雅黑"/>
          <w:color w:val="FF0000"/>
          <w:lang w:val="en-US" w:eastAsia="zh-CN"/>
        </w:rPr>
        <w:t>报价文件不需要手动上传，在线签章后会自动生成。</w:t>
      </w:r>
    </w:p>
    <w:p>
      <w:r>
        <w:drawing>
          <wp:inline distT="0" distB="0" distL="114300" distR="114300">
            <wp:extent cx="5267325" cy="2713990"/>
            <wp:effectExtent l="0" t="0" r="5715" b="1397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1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在线签章，点击‘明细页签章’，进入在线签章页面。</w:t>
      </w:r>
    </w:p>
    <w:p>
      <w:r>
        <w:drawing>
          <wp:inline distT="0" distB="0" distL="114300" distR="114300">
            <wp:extent cx="5273040" cy="2740025"/>
            <wp:effectExtent l="0" t="0" r="0" b="3175"/>
            <wp:docPr id="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74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在签章页面进行签章。必须使用IE浏览器或者360兼容模式。</w:t>
      </w:r>
    </w:p>
    <w:p>
      <w:r>
        <w:drawing>
          <wp:inline distT="0" distB="0" distL="114300" distR="114300">
            <wp:extent cx="4884420" cy="922020"/>
            <wp:effectExtent l="0" t="0" r="7620" b="7620"/>
            <wp:docPr id="2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884420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如果签章页面未加载成功，需要把网站添加到信任站点。</w:t>
      </w:r>
    </w:p>
    <w:p>
      <w:r>
        <w:drawing>
          <wp:inline distT="0" distB="0" distL="114300" distR="114300">
            <wp:extent cx="5277485" cy="4378960"/>
            <wp:effectExtent l="0" t="0" r="10795" b="10160"/>
            <wp:docPr id="2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437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信任站点需要启用ActiveX相关设置。</w:t>
      </w:r>
    </w:p>
    <w:p>
      <w:r>
        <w:drawing>
          <wp:inline distT="0" distB="0" distL="114300" distR="114300">
            <wp:extent cx="4716780" cy="5539740"/>
            <wp:effectExtent l="0" t="0" r="7620" b="7620"/>
            <wp:docPr id="2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716780" cy="5539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在线签章完成后。会自动保存在报价文件上传位置。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如果修改了报价单需要再次签章。</w:t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在线签章</w:t>
      </w:r>
    </w:p>
    <w:p>
      <w:r>
        <w:drawing>
          <wp:inline distT="0" distB="0" distL="114300" distR="114300">
            <wp:extent cx="5274310" cy="2363470"/>
            <wp:effectExtent l="0" t="0" r="13970" b="13970"/>
            <wp:docPr id="2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提交报价</w:t>
      </w:r>
    </w:p>
    <w:p>
      <w:pPr>
        <w:rPr>
          <w:rFonts w:hint="default" w:eastAsia="仿宋"/>
          <w:lang w:val="en-US" w:eastAsia="zh-CN"/>
        </w:rPr>
      </w:pPr>
      <w:r>
        <w:rPr>
          <w:rFonts w:hint="eastAsia"/>
          <w:lang w:val="en-US" w:eastAsia="zh-CN"/>
        </w:rPr>
        <w:t>保存提交后报价成功。</w:t>
      </w:r>
    </w:p>
    <w:p>
      <w:r>
        <w:drawing>
          <wp:inline distT="0" distB="0" distL="114300" distR="114300">
            <wp:extent cx="5274945" cy="3280410"/>
            <wp:effectExtent l="0" t="0" r="13335" b="11430"/>
            <wp:docPr id="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3280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撤回报价</w:t>
      </w:r>
    </w:p>
    <w:p/>
    <w:p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如需撤回报价点击‘撤回报价’按钮可以撤回报价。</w:t>
      </w:r>
    </w:p>
    <w:p>
      <w:r>
        <w:drawing>
          <wp:inline distT="0" distB="0" distL="114300" distR="114300">
            <wp:extent cx="5275580" cy="3212465"/>
            <wp:effectExtent l="0" t="0" r="12700" b="3175"/>
            <wp:docPr id="3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21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bidi w:val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再次报价</w:t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如项目需要二次报价点击‘再次报价’标签进入再次报价。</w:t>
      </w:r>
    </w:p>
    <w:p>
      <w:r>
        <w:drawing>
          <wp:inline distT="0" distB="0" distL="114300" distR="114300">
            <wp:extent cx="5278120" cy="3113405"/>
            <wp:effectExtent l="0" t="0" r="10160" b="10795"/>
            <wp:docPr id="3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0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113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可以使用调价工具对价格进行快速调整。</w:t>
      </w:r>
    </w:p>
    <w:p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77485" cy="1611630"/>
            <wp:effectExtent l="0" t="0" r="10795" b="3810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7485" cy="1611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38" w:name="_GoBack"/>
      <w:bookmarkEnd w:id="38"/>
    </w:p>
    <w:p>
      <w:pPr>
        <w:pStyle w:val="3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5" w:name="_Toc1684"/>
      <w:r>
        <w:rPr>
          <w:rFonts w:hint="eastAsia" w:ascii="微软雅黑" w:hAnsi="微软雅黑" w:eastAsia="微软雅黑" w:cs="微软雅黑"/>
        </w:rPr>
        <w:t>中标结果</w:t>
      </w:r>
      <w:bookmarkEnd w:id="35"/>
    </w:p>
    <w:p>
      <w:r>
        <w:rPr>
          <w:rFonts w:hint="eastAsia" w:ascii="微软雅黑" w:hAnsi="微软雅黑" w:eastAsia="微软雅黑" w:cs="微软雅黑"/>
        </w:rPr>
        <w:t xml:space="preserve"> 经办人进行结果通知之后，供应商在中标结果的节点可以查看到相关的信息，哪家供应商中标、未中标，如图所示：</w:t>
      </w:r>
    </w:p>
    <w:p>
      <w:r>
        <w:drawing>
          <wp:inline distT="0" distB="0" distL="114300" distR="114300">
            <wp:extent cx="5275580" cy="1233170"/>
            <wp:effectExtent l="0" t="0" r="12700" b="1270"/>
            <wp:docPr id="3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4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5269230" cy="2052320"/>
            <wp:effectExtent l="0" t="0" r="3810" b="5080"/>
            <wp:docPr id="3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3"/>
        <w:spacing w:before="163" w:after="163"/>
        <w:rPr>
          <w:rFonts w:ascii="微软雅黑" w:hAnsi="微软雅黑" w:eastAsia="微软雅黑" w:cs="微软雅黑"/>
        </w:rPr>
      </w:pPr>
      <w:r>
        <w:rPr>
          <w:rFonts w:hint="eastAsia" w:ascii="微软雅黑" w:hAnsi="微软雅黑" w:eastAsia="微软雅黑" w:cs="微软雅黑"/>
        </w:rPr>
        <w:t xml:space="preserve"> </w:t>
      </w:r>
      <w:bookmarkStart w:id="36" w:name="_Toc10915"/>
      <w:r>
        <w:rPr>
          <w:rFonts w:hint="eastAsia" w:ascii="微软雅黑" w:hAnsi="微软雅黑" w:eastAsia="微软雅黑" w:cs="微软雅黑"/>
        </w:rPr>
        <w:t>结果公示</w:t>
      </w:r>
      <w:bookmarkEnd w:id="36"/>
    </w:p>
    <w:p>
      <w:pPr>
        <w:rPr>
          <w:rFonts w:eastAsia="微软雅黑"/>
        </w:rPr>
      </w:pPr>
      <w:r>
        <w:rPr>
          <w:rFonts w:hint="eastAsia" w:ascii="微软雅黑" w:hAnsi="微软雅黑" w:eastAsia="微软雅黑" w:cs="微软雅黑"/>
        </w:rPr>
        <w:t xml:space="preserve"> 经办人确定成交供应商并且提交中标公示之后，供应商在结果公示的节点可以查看到信息，如图所示：</w:t>
      </w:r>
    </w:p>
    <w:p>
      <w:r>
        <w:drawing>
          <wp:inline distT="0" distB="0" distL="114300" distR="114300">
            <wp:extent cx="5275580" cy="2237740"/>
            <wp:effectExtent l="0" t="0" r="12700" b="254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1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223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pStyle w:val="2"/>
        <w:rPr>
          <w:rFonts w:ascii="微软雅黑" w:hAnsi="微软雅黑" w:eastAsia="微软雅黑" w:cs="微软雅黑"/>
        </w:rPr>
      </w:pPr>
      <w:bookmarkStart w:id="37" w:name="_Toc28834"/>
      <w:r>
        <w:rPr>
          <w:rFonts w:hint="eastAsia" w:ascii="微软雅黑" w:hAnsi="微软雅黑" w:eastAsia="微软雅黑" w:cs="微软雅黑"/>
        </w:rPr>
        <w:t>技术支持</w:t>
      </w:r>
      <w:bookmarkEnd w:id="37"/>
    </w:p>
    <w:p>
      <w:pPr>
        <w:ind w:left="77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联系人：</w:t>
      </w:r>
    </w:p>
    <w:p>
      <w:pPr>
        <w:ind w:left="773"/>
        <w:rPr>
          <w:rFonts w:hint="eastAsia" w:ascii="宋体" w:hAnsi="宋体" w:eastAsia="宋体"/>
        </w:rPr>
      </w:pPr>
      <w:r>
        <w:rPr>
          <w:rFonts w:hint="eastAsia" w:ascii="宋体" w:hAnsi="宋体" w:eastAsia="宋体"/>
        </w:rPr>
        <w:t>联系方式：</w:t>
      </w:r>
    </w:p>
    <w:p>
      <w:pPr>
        <w:ind w:left="773"/>
        <w:rPr>
          <w:rFonts w:ascii="宋体" w:hAnsi="宋体" w:eastAsia="宋体"/>
        </w:rPr>
      </w:pPr>
      <w:r>
        <w:rPr>
          <w:rFonts w:hint="eastAsia" w:ascii="宋体" w:hAnsi="宋体" w:eastAsia="宋体"/>
        </w:rPr>
        <w:t>q</w:t>
      </w:r>
      <w:r>
        <w:rPr>
          <w:rFonts w:ascii="宋体" w:hAnsi="宋体" w:eastAsia="宋体"/>
        </w:rPr>
        <w:t xml:space="preserve">q: </w:t>
      </w:r>
    </w:p>
    <w:p/>
    <w:p/>
    <w:p/>
    <w:p/>
    <w:p/>
    <w:p/>
    <w:sectPr>
      <w:headerReference r:id="rId5" w:type="default"/>
      <w:footerReference r:id="rId6" w:type="default"/>
      <w:pgSz w:w="11906" w:h="16838"/>
      <w:pgMar w:top="1440" w:right="1797" w:bottom="1440" w:left="1797" w:header="851" w:footer="992" w:gutter="0"/>
      <w:cols w:space="720" w:num="1"/>
      <w:docGrid w:type="lines" w:linePitch="326" w:charSpace="91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left="480"/>
      <w:jc w:val="right"/>
      <w:rPr>
        <w:rFonts w:ascii="微软雅黑" w:hAnsi="微软雅黑" w:eastAsia="微软雅黑" w:cs="微软雅黑"/>
        <w:sz w:val="21"/>
        <w:szCs w:val="21"/>
      </w:rPr>
    </w:pPr>
    <w:r>
      <w:rPr>
        <w:rStyle w:val="18"/>
        <w:rFonts w:hint="eastAsia" w:ascii="微软雅黑" w:hAnsi="微软雅黑" w:eastAsia="微软雅黑" w:cs="微软雅黑"/>
        <w:sz w:val="21"/>
        <w:szCs w:val="21"/>
      </w:rPr>
      <w:tab/>
    </w:r>
    <w:r>
      <w:rPr>
        <w:rStyle w:val="18"/>
        <w:rFonts w:hint="eastAsia" w:ascii="微软雅黑" w:hAnsi="微软雅黑" w:eastAsia="微软雅黑" w:cs="微软雅黑"/>
        <w:sz w:val="21"/>
        <w:szCs w:val="21"/>
      </w:rPr>
      <w:t xml:space="preserve"> 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8"/>
        <w:rFonts w:hint="eastAsia" w:ascii="微软雅黑" w:hAnsi="微软雅黑" w:eastAsia="微软雅黑" w:cs="微软雅黑"/>
        <w:sz w:val="21"/>
        <w:szCs w:val="21"/>
      </w:rPr>
      <w:instrText xml:space="preserve"> PAGE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8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  <w:r>
      <w:rPr>
        <w:rStyle w:val="18"/>
        <w:rFonts w:hint="eastAsia" w:ascii="微软雅黑" w:hAnsi="微软雅黑" w:eastAsia="微软雅黑" w:cs="微软雅黑"/>
        <w:sz w:val="21"/>
        <w:szCs w:val="21"/>
      </w:rPr>
      <w:t>/</w:t>
    </w:r>
    <w:r>
      <w:rPr>
        <w:rFonts w:hint="eastAsia" w:ascii="微软雅黑" w:hAnsi="微软雅黑" w:eastAsia="微软雅黑" w:cs="微软雅黑"/>
        <w:sz w:val="21"/>
        <w:szCs w:val="21"/>
      </w:rPr>
      <w:fldChar w:fldCharType="begin"/>
    </w:r>
    <w:r>
      <w:rPr>
        <w:rStyle w:val="18"/>
        <w:rFonts w:hint="eastAsia" w:ascii="微软雅黑" w:hAnsi="微软雅黑" w:eastAsia="微软雅黑" w:cs="微软雅黑"/>
        <w:sz w:val="21"/>
        <w:szCs w:val="21"/>
      </w:rPr>
      <w:instrText xml:space="preserve"> NUMPAGES </w:instrText>
    </w:r>
    <w:r>
      <w:rPr>
        <w:rFonts w:hint="eastAsia" w:ascii="微软雅黑" w:hAnsi="微软雅黑" w:eastAsia="微软雅黑" w:cs="微软雅黑"/>
        <w:sz w:val="21"/>
        <w:szCs w:val="21"/>
      </w:rPr>
      <w:fldChar w:fldCharType="separate"/>
    </w:r>
    <w:r>
      <w:rPr>
        <w:rStyle w:val="18"/>
        <w:rFonts w:ascii="微软雅黑" w:hAnsi="微软雅黑" w:eastAsia="微软雅黑" w:cs="微软雅黑"/>
        <w:sz w:val="21"/>
        <w:szCs w:val="21"/>
      </w:rPr>
      <w:t>20</w:t>
    </w:r>
    <w:r>
      <w:rPr>
        <w:rFonts w:hint="eastAsia" w:ascii="微软雅黑" w:hAnsi="微软雅黑" w:eastAsia="微软雅黑" w:cs="微软雅黑"/>
        <w:sz w:val="21"/>
        <w:szCs w:val="21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spacing w:line="240" w:lineRule="auto"/>
      <w:ind w:right="90"/>
      <w:jc w:val="left"/>
      <w:rPr>
        <w:rFonts w:ascii="微软雅黑" w:hAnsi="微软雅黑" w:eastAsia="微软雅黑" w:cs="微软雅黑"/>
      </w:rPr>
    </w:pPr>
    <w:r>
      <w:rPr>
        <w:rFonts w:hint="eastAsia" w:ascii="微软雅黑" w:hAnsi="微软雅黑" w:eastAsia="微软雅黑" w:cs="微软雅黑"/>
      </w:rPr>
      <w:t xml:space="preserve">供应商购标、投标手册          </w:t>
    </w:r>
    <w:r>
      <w:rPr>
        <w:rFonts w:ascii="微软雅黑" w:hAnsi="微软雅黑" w:eastAsia="微软雅黑" w:cs="微软雅黑"/>
      </w:rPr>
      <w:t xml:space="preserve">     </w:t>
    </w:r>
    <w:r>
      <w:rPr>
        <w:rFonts w:hint="eastAsia" w:ascii="微软雅黑" w:hAnsi="微软雅黑" w:eastAsia="微软雅黑" w:cs="微软雅黑"/>
      </w:rPr>
      <w:t xml:space="preserve">                     </w:t>
    </w:r>
    <w:r>
      <w:rPr>
        <w:rFonts w:ascii="微软雅黑" w:hAnsi="微软雅黑" w:eastAsia="微软雅黑" w:cs="微软雅黑"/>
      </w:rPr>
      <w:t xml:space="preserve">          </w:t>
    </w:r>
    <w:r>
      <w:rPr>
        <w:rFonts w:hint="eastAsia" w:ascii="微软雅黑" w:hAnsi="微软雅黑" w:eastAsia="微软雅黑" w:cs="微软雅黑"/>
      </w:rPr>
      <w:t>黑猫电子招标采购交易平台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E434543"/>
    <w:multiLevelType w:val="multilevel"/>
    <w:tmpl w:val="0E434543"/>
    <w:lvl w:ilvl="0" w:tentative="0">
      <w:start w:val="1"/>
      <w:numFmt w:val="decimal"/>
      <w:pStyle w:val="2"/>
      <w:suff w:val="nothing"/>
      <w:lvlText w:val="%1"/>
      <w:lvlJc w:val="left"/>
      <w:pPr>
        <w:ind w:left="432" w:hanging="432"/>
      </w:pPr>
      <w:rPr>
        <w:rFonts w:hint="eastAsia"/>
      </w:rPr>
    </w:lvl>
    <w:lvl w:ilvl="1" w:tentative="0">
      <w:start w:val="1"/>
      <w:numFmt w:val="decimal"/>
      <w:pStyle w:val="3"/>
      <w:suff w:val="nothing"/>
      <w:lvlText w:val="%1.%2"/>
      <w:lvlJc w:val="left"/>
      <w:pPr>
        <w:ind w:left="576" w:hanging="576"/>
      </w:pPr>
      <w:rPr>
        <w:rFonts w:hint="eastAsia"/>
      </w:rPr>
    </w:lvl>
    <w:lvl w:ilvl="2" w:tentative="0">
      <w:start w:val="1"/>
      <w:numFmt w:val="decimal"/>
      <w:pStyle w:val="4"/>
      <w:suff w:val="nothing"/>
      <w:lvlText w:val="%1.%2.%3"/>
      <w:lvlJc w:val="left"/>
      <w:pPr>
        <w:ind w:left="720" w:hanging="720"/>
      </w:pPr>
      <w:rPr>
        <w:rFonts w:hint="eastAsia"/>
      </w:rPr>
    </w:lvl>
    <w:lvl w:ilvl="3" w:tentative="0">
      <w:start w:val="1"/>
      <w:numFmt w:val="decimal"/>
      <w:pStyle w:val="5"/>
      <w:lvlText w:val="%1.%2.%3.%4"/>
      <w:lvlJc w:val="left"/>
      <w:pPr>
        <w:ind w:left="1715" w:hanging="864"/>
      </w:pPr>
      <w:rPr>
        <w:rFonts w:hint="eastAsia"/>
      </w:rPr>
    </w:lvl>
    <w:lvl w:ilvl="4" w:tentative="0">
      <w:start w:val="1"/>
      <w:numFmt w:val="decimal"/>
      <w:pStyle w:val="6"/>
      <w:lvlText w:val="%1.%2.%3.%4.%5"/>
      <w:lvlJc w:val="left"/>
      <w:pPr>
        <w:ind w:left="1008" w:hanging="1008"/>
      </w:pPr>
      <w:rPr>
        <w:rFonts w:hint="eastAsia"/>
      </w:rPr>
    </w:lvl>
    <w:lvl w:ilvl="5" w:tentative="0">
      <w:start w:val="1"/>
      <w:numFmt w:val="decimal"/>
      <w:pStyle w:val="7"/>
      <w:lvlText w:val="%1.%2.%3.%4.%5.%6"/>
      <w:lvlJc w:val="left"/>
      <w:pPr>
        <w:ind w:left="1152" w:hanging="1152"/>
      </w:pPr>
      <w:rPr>
        <w:rFonts w:hint="eastAsia"/>
      </w:rPr>
    </w:lvl>
    <w:lvl w:ilvl="6" w:tentative="0">
      <w:start w:val="1"/>
      <w:numFmt w:val="decimal"/>
      <w:pStyle w:val="8"/>
      <w:lvlText w:val="%1.%2.%3.%4.%5.%6.%7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9"/>
      <w:lvlText w:val="%1.%2.%3.%4.%5.%6.%7.%8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0"/>
      <w:lvlText w:val="%1.%2.%3.%4.%5.%6.%7.%8.%9"/>
      <w:lvlJc w:val="left"/>
      <w:pPr>
        <w:ind w:left="1584" w:hanging="1584"/>
      </w:pPr>
      <w:rPr>
        <w:rFonts w:hint="eastAsia"/>
      </w:rPr>
    </w:lvl>
  </w:abstractNum>
  <w:abstractNum w:abstractNumId="1">
    <w:nsid w:val="20116898"/>
    <w:multiLevelType w:val="multilevel"/>
    <w:tmpl w:val="20116898"/>
    <w:lvl w:ilvl="0" w:tentative="0">
      <w:start w:val="1"/>
      <w:numFmt w:val="bullet"/>
      <w:lvlText w:val=""/>
      <w:lvlJc w:val="left"/>
      <w:pPr>
        <w:ind w:left="84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126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68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10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52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94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336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78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4200" w:hanging="420"/>
      </w:pPr>
      <w:rPr>
        <w:rFonts w:hint="default" w:ascii="Wingdings" w:hAnsi="Wingdings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2344"/>
    <w:rsid w:val="00026BD4"/>
    <w:rsid w:val="00067AD3"/>
    <w:rsid w:val="000D7B76"/>
    <w:rsid w:val="00121A80"/>
    <w:rsid w:val="0014101B"/>
    <w:rsid w:val="001643A9"/>
    <w:rsid w:val="00165DD7"/>
    <w:rsid w:val="00167E24"/>
    <w:rsid w:val="0019211B"/>
    <w:rsid w:val="001A7B72"/>
    <w:rsid w:val="001B2775"/>
    <w:rsid w:val="00233CD3"/>
    <w:rsid w:val="002642A6"/>
    <w:rsid w:val="00282BF9"/>
    <w:rsid w:val="002E1675"/>
    <w:rsid w:val="003A3D07"/>
    <w:rsid w:val="003E22BF"/>
    <w:rsid w:val="003E4227"/>
    <w:rsid w:val="003E6A7A"/>
    <w:rsid w:val="00480F56"/>
    <w:rsid w:val="004B1171"/>
    <w:rsid w:val="004F549B"/>
    <w:rsid w:val="00531462"/>
    <w:rsid w:val="005330A6"/>
    <w:rsid w:val="0057121A"/>
    <w:rsid w:val="005A7A5C"/>
    <w:rsid w:val="005E2344"/>
    <w:rsid w:val="006244C0"/>
    <w:rsid w:val="006462CC"/>
    <w:rsid w:val="006B2B39"/>
    <w:rsid w:val="0075669D"/>
    <w:rsid w:val="007A7FCE"/>
    <w:rsid w:val="0086086C"/>
    <w:rsid w:val="00906C98"/>
    <w:rsid w:val="00910E9F"/>
    <w:rsid w:val="00955BD8"/>
    <w:rsid w:val="009C3091"/>
    <w:rsid w:val="009F7F3C"/>
    <w:rsid w:val="00A14CAE"/>
    <w:rsid w:val="00A4057B"/>
    <w:rsid w:val="00A4131C"/>
    <w:rsid w:val="00A62A62"/>
    <w:rsid w:val="00B6579C"/>
    <w:rsid w:val="00BA4ED4"/>
    <w:rsid w:val="00BA65DC"/>
    <w:rsid w:val="00BE26EB"/>
    <w:rsid w:val="00C5327E"/>
    <w:rsid w:val="00CA16F9"/>
    <w:rsid w:val="00D0763D"/>
    <w:rsid w:val="00D10533"/>
    <w:rsid w:val="00D151AB"/>
    <w:rsid w:val="00D41DAD"/>
    <w:rsid w:val="00D64D12"/>
    <w:rsid w:val="00DA55E7"/>
    <w:rsid w:val="00E95606"/>
    <w:rsid w:val="00EA33C3"/>
    <w:rsid w:val="00EE3186"/>
    <w:rsid w:val="00F11E31"/>
    <w:rsid w:val="00F32703"/>
    <w:rsid w:val="00F55CC8"/>
    <w:rsid w:val="015932BC"/>
    <w:rsid w:val="0A003338"/>
    <w:rsid w:val="0D7B7C81"/>
    <w:rsid w:val="0DBA5F8D"/>
    <w:rsid w:val="172E1D7A"/>
    <w:rsid w:val="214F77B2"/>
    <w:rsid w:val="30133FEC"/>
    <w:rsid w:val="32736431"/>
    <w:rsid w:val="470E2361"/>
    <w:rsid w:val="474B5A21"/>
    <w:rsid w:val="48347828"/>
    <w:rsid w:val="4A4D5FE2"/>
    <w:rsid w:val="4FD5590A"/>
    <w:rsid w:val="5844209D"/>
    <w:rsid w:val="63FC2A65"/>
    <w:rsid w:val="64C26149"/>
    <w:rsid w:val="69054BD5"/>
    <w:rsid w:val="6C4E249B"/>
    <w:rsid w:val="72990B1C"/>
    <w:rsid w:val="7CAD0525"/>
    <w:rsid w:val="7EE84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nhideWhenUsed="0" w:uiPriority="0" w:semiHidden="0" w:name="heading 2"/>
    <w:lsdException w:qFormat="1" w:unhideWhenUsed="0" w:uiPriority="9" w:semiHidden="0" w:name="heading 3"/>
    <w:lsdException w:qFormat="1" w:unhideWhenUsed="0" w:uiPriority="9" w:semiHidden="0" w:name="heading 4"/>
    <w:lsdException w:qFormat="1" w:unhideWhenUsed="0" w:uiPriority="9" w:semiHidden="0" w:name="heading 5"/>
    <w:lsdException w:qFormat="1" w:unhideWhenUsed="0" w:uiPriority="9" w:semiHidden="0" w:name="heading 6"/>
    <w:lsdException w:qFormat="1" w:unhideWhenUsed="0" w:uiPriority="9" w:semiHidden="0" w:name="heading 7"/>
    <w:lsdException w:qFormat="1" w:unhideWhenUsed="0" w:uiPriority="9" w:semiHidden="0" w:name="heading 8"/>
    <w:lsdException w:qFormat="1" w:unhideWhenUsed="0" w:uiPriority="9" w:semiHidden="0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仿宋" w:cs="Times New Roman"/>
      <w:kern w:val="2"/>
      <w:sz w:val="24"/>
      <w:szCs w:val="22"/>
      <w:lang w:val="en-US" w:eastAsia="zh-CN" w:bidi="ar-SA"/>
    </w:rPr>
  </w:style>
  <w:style w:type="paragraph" w:styleId="2">
    <w:name w:val="heading 1"/>
    <w:basedOn w:val="1"/>
    <w:next w:val="1"/>
    <w:link w:val="22"/>
    <w:qFormat/>
    <w:uiPriority w:val="9"/>
    <w:pPr>
      <w:keepNext/>
      <w:keepLines/>
      <w:pageBreakBefore/>
      <w:numPr>
        <w:ilvl w:val="0"/>
        <w:numId w:val="1"/>
      </w:numPr>
      <w:adjustRightInd w:val="0"/>
      <w:snapToGrid w:val="0"/>
      <w:outlineLvl w:val="0"/>
    </w:pPr>
    <w:rPr>
      <w:rFonts w:eastAsia="宋体"/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23"/>
    <w:qFormat/>
    <w:uiPriority w:val="0"/>
    <w:pPr>
      <w:keepLines/>
      <w:numPr>
        <w:ilvl w:val="1"/>
        <w:numId w:val="1"/>
      </w:numPr>
      <w:spacing w:before="50" w:beforeLines="50" w:after="50" w:afterLines="50"/>
      <w:outlineLvl w:val="1"/>
    </w:pPr>
    <w:rPr>
      <w:rFonts w:ascii="Cambria" w:hAnsi="Cambria"/>
      <w:b/>
      <w:bCs/>
      <w:sz w:val="28"/>
      <w:szCs w:val="32"/>
    </w:rPr>
  </w:style>
  <w:style w:type="paragraph" w:styleId="4">
    <w:name w:val="heading 3"/>
    <w:basedOn w:val="1"/>
    <w:next w:val="1"/>
    <w:link w:val="21"/>
    <w:qFormat/>
    <w:uiPriority w:val="9"/>
    <w:pPr>
      <w:keepLines/>
      <w:numPr>
        <w:ilvl w:val="2"/>
        <w:numId w:val="1"/>
      </w:numPr>
      <w:spacing w:before="50" w:beforeLines="50" w:after="50" w:afterLines="50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qFormat/>
    <w:uiPriority w:val="9"/>
    <w:pPr>
      <w:keepNext/>
      <w:keepLines/>
      <w:numPr>
        <w:ilvl w:val="3"/>
        <w:numId w:val="1"/>
      </w:numPr>
      <w:adjustRightInd w:val="0"/>
      <w:snapToGrid w:val="0"/>
      <w:spacing w:before="280" w:after="290" w:line="240" w:lineRule="auto"/>
      <w:outlineLvl w:val="3"/>
    </w:pPr>
    <w:rPr>
      <w:rFonts w:ascii="Cambria" w:hAnsi="Cambria"/>
      <w:b/>
      <w:bCs/>
      <w:szCs w:val="28"/>
    </w:rPr>
  </w:style>
  <w:style w:type="paragraph" w:styleId="6">
    <w:name w:val="heading 5"/>
    <w:basedOn w:val="1"/>
    <w:next w:val="1"/>
    <w:link w:val="25"/>
    <w:qFormat/>
    <w:uiPriority w:val="9"/>
    <w:pPr>
      <w:keepNext/>
      <w:keepLines/>
      <w:numPr>
        <w:ilvl w:val="4"/>
        <w:numId w:val="1"/>
      </w:numPr>
      <w:spacing w:before="280" w:after="290" w:line="376" w:lineRule="auto"/>
      <w:outlineLvl w:val="4"/>
    </w:pPr>
    <w:rPr>
      <w:rFonts w:eastAsia="宋体"/>
      <w:b/>
      <w:bCs/>
      <w:sz w:val="28"/>
      <w:szCs w:val="28"/>
    </w:rPr>
  </w:style>
  <w:style w:type="paragraph" w:styleId="7">
    <w:name w:val="heading 6"/>
    <w:basedOn w:val="1"/>
    <w:next w:val="1"/>
    <w:link w:val="20"/>
    <w:qFormat/>
    <w:uiPriority w:val="9"/>
    <w:pPr>
      <w:keepNext/>
      <w:keepLines/>
      <w:numPr>
        <w:ilvl w:val="5"/>
        <w:numId w:val="1"/>
      </w:numPr>
      <w:spacing w:before="240" w:after="64" w:line="320" w:lineRule="auto"/>
      <w:outlineLvl w:val="5"/>
    </w:pPr>
    <w:rPr>
      <w:rFonts w:ascii="Cambria" w:hAnsi="Cambria" w:eastAsia="宋体"/>
      <w:b/>
      <w:bCs/>
      <w:szCs w:val="24"/>
    </w:rPr>
  </w:style>
  <w:style w:type="paragraph" w:styleId="8">
    <w:name w:val="heading 7"/>
    <w:basedOn w:val="1"/>
    <w:next w:val="1"/>
    <w:link w:val="26"/>
    <w:qFormat/>
    <w:uiPriority w:val="9"/>
    <w:pPr>
      <w:keepNext/>
      <w:keepLines/>
      <w:numPr>
        <w:ilvl w:val="6"/>
        <w:numId w:val="1"/>
      </w:numPr>
      <w:spacing w:before="240" w:after="64" w:line="320" w:lineRule="auto"/>
      <w:outlineLvl w:val="6"/>
    </w:pPr>
    <w:rPr>
      <w:rFonts w:eastAsia="宋体"/>
      <w:b/>
      <w:bCs/>
      <w:szCs w:val="24"/>
    </w:rPr>
  </w:style>
  <w:style w:type="paragraph" w:styleId="9">
    <w:name w:val="heading 8"/>
    <w:basedOn w:val="1"/>
    <w:next w:val="1"/>
    <w:link w:val="27"/>
    <w:qFormat/>
    <w:uiPriority w:val="9"/>
    <w:pPr>
      <w:keepNext/>
      <w:keepLines/>
      <w:numPr>
        <w:ilvl w:val="7"/>
        <w:numId w:val="1"/>
      </w:numPr>
      <w:spacing w:before="240" w:after="64" w:line="320" w:lineRule="auto"/>
      <w:outlineLvl w:val="7"/>
    </w:pPr>
    <w:rPr>
      <w:rFonts w:ascii="Cambria" w:hAnsi="Cambria" w:eastAsia="宋体"/>
      <w:szCs w:val="24"/>
    </w:rPr>
  </w:style>
  <w:style w:type="paragraph" w:styleId="10">
    <w:name w:val="heading 9"/>
    <w:basedOn w:val="1"/>
    <w:next w:val="1"/>
    <w:link w:val="28"/>
    <w:qFormat/>
    <w:uiPriority w:val="9"/>
    <w:pPr>
      <w:keepNext/>
      <w:keepLines/>
      <w:numPr>
        <w:ilvl w:val="8"/>
        <w:numId w:val="1"/>
      </w:numPr>
      <w:spacing w:before="240" w:after="64" w:line="320" w:lineRule="auto"/>
      <w:outlineLvl w:val="8"/>
    </w:pPr>
    <w:rPr>
      <w:rFonts w:ascii="Cambria" w:hAnsi="Cambria" w:eastAsia="宋体"/>
      <w:sz w:val="21"/>
      <w:szCs w:val="21"/>
    </w:rPr>
  </w:style>
  <w:style w:type="character" w:default="1" w:styleId="17">
    <w:name w:val="Default Paragraph Font"/>
    <w:semiHidden/>
    <w:unhideWhenUsed/>
    <w:qFormat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3"/>
    <w:basedOn w:val="1"/>
    <w:next w:val="1"/>
    <w:unhideWhenUsed/>
    <w:qFormat/>
    <w:uiPriority w:val="39"/>
    <w:pPr>
      <w:widowControl/>
      <w:spacing w:after="100" w:line="276" w:lineRule="auto"/>
      <w:ind w:left="100" w:leftChars="100" w:right="100" w:rightChars="100"/>
      <w:jc w:val="left"/>
    </w:pPr>
    <w:rPr>
      <w:rFonts w:ascii="Calibri" w:hAnsi="Calibri" w:eastAsia="宋体"/>
      <w:kern w:val="0"/>
      <w:sz w:val="22"/>
    </w:rPr>
  </w:style>
  <w:style w:type="paragraph" w:styleId="12">
    <w:name w:val="footer"/>
    <w:basedOn w:val="1"/>
    <w:link w:val="2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rFonts w:eastAsia="宋体"/>
      <w:sz w:val="18"/>
      <w:szCs w:val="18"/>
    </w:rPr>
  </w:style>
  <w:style w:type="paragraph" w:styleId="13">
    <w:name w:val="header"/>
    <w:basedOn w:val="1"/>
    <w:link w:val="3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eastAsia="宋体"/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widowControl/>
      <w:tabs>
        <w:tab w:val="left" w:pos="440"/>
        <w:tab w:val="right" w:leader="dot" w:pos="8296"/>
      </w:tabs>
      <w:spacing w:after="100" w:line="276" w:lineRule="auto"/>
      <w:ind w:left="210" w:leftChars="100" w:right="210" w:rightChars="100"/>
      <w:jc w:val="left"/>
    </w:pPr>
    <w:rPr>
      <w:b/>
      <w:kern w:val="0"/>
    </w:rPr>
  </w:style>
  <w:style w:type="paragraph" w:styleId="15">
    <w:name w:val="toc 2"/>
    <w:basedOn w:val="1"/>
    <w:next w:val="1"/>
    <w:unhideWhenUsed/>
    <w:qFormat/>
    <w:uiPriority w:val="39"/>
    <w:pPr>
      <w:widowControl/>
      <w:tabs>
        <w:tab w:val="left" w:pos="840"/>
        <w:tab w:val="right" w:leader="dot" w:pos="8296"/>
      </w:tabs>
      <w:spacing w:after="100" w:line="276" w:lineRule="auto"/>
      <w:ind w:left="210" w:leftChars="100" w:right="210" w:rightChars="100"/>
      <w:jc w:val="left"/>
    </w:pPr>
    <w:rPr>
      <w:b/>
      <w:kern w:val="0"/>
    </w:rPr>
  </w:style>
  <w:style w:type="character" w:styleId="18">
    <w:name w:val="page number"/>
    <w:qFormat/>
    <w:uiPriority w:val="0"/>
  </w:style>
  <w:style w:type="character" w:styleId="19">
    <w:name w:val="Hyperlink"/>
    <w:unhideWhenUsed/>
    <w:qFormat/>
    <w:uiPriority w:val="99"/>
    <w:rPr>
      <w:color w:val="000000"/>
      <w:sz w:val="14"/>
      <w:szCs w:val="14"/>
      <w:u w:val="single"/>
    </w:rPr>
  </w:style>
  <w:style w:type="character" w:customStyle="1" w:styleId="20">
    <w:name w:val="标题 6 字符"/>
    <w:basedOn w:val="17"/>
    <w:link w:val="7"/>
    <w:qFormat/>
    <w:uiPriority w:val="9"/>
    <w:rPr>
      <w:rFonts w:ascii="Cambria" w:hAnsi="Cambria" w:eastAsia="宋体" w:cs="Times New Roman"/>
      <w:b/>
      <w:bCs/>
      <w:sz w:val="24"/>
      <w:szCs w:val="24"/>
    </w:rPr>
  </w:style>
  <w:style w:type="character" w:customStyle="1" w:styleId="21">
    <w:name w:val="标题 3 字符"/>
    <w:basedOn w:val="17"/>
    <w:link w:val="4"/>
    <w:qFormat/>
    <w:uiPriority w:val="9"/>
    <w:rPr>
      <w:rFonts w:ascii="Times New Roman" w:hAnsi="Times New Roman" w:eastAsia="仿宋" w:cs="Times New Roman"/>
      <w:b/>
      <w:bCs/>
      <w:sz w:val="24"/>
      <w:szCs w:val="32"/>
    </w:rPr>
  </w:style>
  <w:style w:type="character" w:customStyle="1" w:styleId="22">
    <w:name w:val="标题 1 字符"/>
    <w:basedOn w:val="17"/>
    <w:link w:val="2"/>
    <w:qFormat/>
    <w:uiPriority w:val="9"/>
    <w:rPr>
      <w:rFonts w:ascii="Times New Roman" w:hAnsi="Times New Roman" w:eastAsia="宋体" w:cs="Times New Roman"/>
      <w:b/>
      <w:bCs/>
      <w:kern w:val="44"/>
      <w:sz w:val="32"/>
      <w:szCs w:val="44"/>
    </w:rPr>
  </w:style>
  <w:style w:type="character" w:customStyle="1" w:styleId="23">
    <w:name w:val="标题 2 字符"/>
    <w:basedOn w:val="17"/>
    <w:link w:val="3"/>
    <w:qFormat/>
    <w:uiPriority w:val="0"/>
    <w:rPr>
      <w:rFonts w:ascii="Cambria" w:hAnsi="Cambria" w:eastAsia="仿宋" w:cs="Times New Roman"/>
      <w:b/>
      <w:bCs/>
      <w:sz w:val="28"/>
      <w:szCs w:val="32"/>
    </w:rPr>
  </w:style>
  <w:style w:type="character" w:customStyle="1" w:styleId="24">
    <w:name w:val="标题 4 字符"/>
    <w:basedOn w:val="17"/>
    <w:link w:val="5"/>
    <w:qFormat/>
    <w:uiPriority w:val="9"/>
    <w:rPr>
      <w:rFonts w:ascii="Cambria" w:hAnsi="Cambria" w:eastAsia="仿宋" w:cs="Times New Roman"/>
      <w:b/>
      <w:bCs/>
      <w:sz w:val="24"/>
      <w:szCs w:val="28"/>
    </w:rPr>
  </w:style>
  <w:style w:type="character" w:customStyle="1" w:styleId="25">
    <w:name w:val="标题 5 字符"/>
    <w:basedOn w:val="17"/>
    <w:link w:val="6"/>
    <w:qFormat/>
    <w:uiPriority w:val="9"/>
    <w:rPr>
      <w:rFonts w:ascii="Times New Roman" w:hAnsi="Times New Roman" w:eastAsia="宋体" w:cs="Times New Roman"/>
      <w:b/>
      <w:bCs/>
      <w:sz w:val="28"/>
      <w:szCs w:val="28"/>
    </w:rPr>
  </w:style>
  <w:style w:type="character" w:customStyle="1" w:styleId="26">
    <w:name w:val="标题 7 字符"/>
    <w:basedOn w:val="17"/>
    <w:link w:val="8"/>
    <w:qFormat/>
    <w:uiPriority w:val="9"/>
    <w:rPr>
      <w:rFonts w:ascii="Times New Roman" w:hAnsi="Times New Roman" w:eastAsia="宋体" w:cs="Times New Roman"/>
      <w:b/>
      <w:bCs/>
      <w:sz w:val="24"/>
      <w:szCs w:val="24"/>
    </w:rPr>
  </w:style>
  <w:style w:type="character" w:customStyle="1" w:styleId="27">
    <w:name w:val="标题 8 字符"/>
    <w:basedOn w:val="17"/>
    <w:link w:val="9"/>
    <w:qFormat/>
    <w:uiPriority w:val="9"/>
    <w:rPr>
      <w:rFonts w:ascii="Cambria" w:hAnsi="Cambria" w:eastAsia="宋体" w:cs="Times New Roman"/>
      <w:sz w:val="24"/>
      <w:szCs w:val="24"/>
    </w:rPr>
  </w:style>
  <w:style w:type="character" w:customStyle="1" w:styleId="28">
    <w:name w:val="标题 9 字符"/>
    <w:basedOn w:val="17"/>
    <w:link w:val="10"/>
    <w:qFormat/>
    <w:uiPriority w:val="9"/>
    <w:rPr>
      <w:rFonts w:ascii="Cambria" w:hAnsi="Cambria" w:eastAsia="宋体" w:cs="Times New Roman"/>
      <w:szCs w:val="21"/>
    </w:rPr>
  </w:style>
  <w:style w:type="character" w:customStyle="1" w:styleId="29">
    <w:name w:val="页脚 字符"/>
    <w:basedOn w:val="17"/>
    <w:link w:val="12"/>
    <w:qFormat/>
    <w:uiPriority w:val="0"/>
    <w:rPr>
      <w:rFonts w:ascii="Times New Roman" w:hAnsi="Times New Roman" w:eastAsia="宋体" w:cs="Times New Roman"/>
      <w:sz w:val="18"/>
      <w:szCs w:val="18"/>
    </w:rPr>
  </w:style>
  <w:style w:type="character" w:customStyle="1" w:styleId="30">
    <w:name w:val="页眉 字符"/>
    <w:basedOn w:val="17"/>
    <w:link w:val="13"/>
    <w:qFormat/>
    <w:uiPriority w:val="0"/>
    <w:rPr>
      <w:rFonts w:ascii="Times New Roman" w:hAnsi="Times New Roman" w:eastAsia="宋体" w:cs="Times New Roman"/>
      <w:sz w:val="18"/>
      <w:szCs w:val="18"/>
    </w:rPr>
  </w:style>
  <w:style w:type="paragraph" w:styleId="31">
    <w:name w:val="List Paragraph"/>
    <w:basedOn w:val="1"/>
    <w:qFormat/>
    <w:uiPriority w:val="34"/>
    <w:pPr>
      <w:ind w:firstLine="420" w:firstLineChars="200"/>
    </w:pPr>
  </w:style>
  <w:style w:type="paragraph" w:customStyle="1" w:styleId="32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kern w:val="0"/>
      <w:sz w:val="20"/>
      <w:szCs w:val="2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8" Type="http://schemas.openxmlformats.org/officeDocument/2006/relationships/fontTable" Target="fontTable.xml"/><Relationship Id="rId47" Type="http://schemas.openxmlformats.org/officeDocument/2006/relationships/customXml" Target="../customXml/item1.xml"/><Relationship Id="rId46" Type="http://schemas.openxmlformats.org/officeDocument/2006/relationships/numbering" Target="numbering.xml"/><Relationship Id="rId45" Type="http://schemas.openxmlformats.org/officeDocument/2006/relationships/image" Target="media/image38.png"/><Relationship Id="rId44" Type="http://schemas.openxmlformats.org/officeDocument/2006/relationships/image" Target="media/image37.png"/><Relationship Id="rId43" Type="http://schemas.openxmlformats.org/officeDocument/2006/relationships/image" Target="media/image36.png"/><Relationship Id="rId42" Type="http://schemas.openxmlformats.org/officeDocument/2006/relationships/image" Target="media/image35.png"/><Relationship Id="rId41" Type="http://schemas.openxmlformats.org/officeDocument/2006/relationships/image" Target="media/image34.png"/><Relationship Id="rId40" Type="http://schemas.openxmlformats.org/officeDocument/2006/relationships/image" Target="media/image33.png"/><Relationship Id="rId4" Type="http://schemas.openxmlformats.org/officeDocument/2006/relationships/endnotes" Target="endnotes.xml"/><Relationship Id="rId39" Type="http://schemas.openxmlformats.org/officeDocument/2006/relationships/image" Target="media/image32.png"/><Relationship Id="rId38" Type="http://schemas.openxmlformats.org/officeDocument/2006/relationships/image" Target="media/image31.png"/><Relationship Id="rId37" Type="http://schemas.openxmlformats.org/officeDocument/2006/relationships/image" Target="media/image30.png"/><Relationship Id="rId36" Type="http://schemas.openxmlformats.org/officeDocument/2006/relationships/image" Target="media/image29.png"/><Relationship Id="rId35" Type="http://schemas.openxmlformats.org/officeDocument/2006/relationships/image" Target="media/image28.png"/><Relationship Id="rId34" Type="http://schemas.openxmlformats.org/officeDocument/2006/relationships/image" Target="media/image27.png"/><Relationship Id="rId33" Type="http://schemas.openxmlformats.org/officeDocument/2006/relationships/image" Target="media/image26.png"/><Relationship Id="rId32" Type="http://schemas.openxmlformats.org/officeDocument/2006/relationships/image" Target="media/image25.png"/><Relationship Id="rId31" Type="http://schemas.openxmlformats.org/officeDocument/2006/relationships/image" Target="media/image24.png"/><Relationship Id="rId30" Type="http://schemas.openxmlformats.org/officeDocument/2006/relationships/image" Target="media/image23.png"/><Relationship Id="rId3" Type="http://schemas.openxmlformats.org/officeDocument/2006/relationships/footnotes" Target="footnotes.xml"/><Relationship Id="rId29" Type="http://schemas.openxmlformats.org/officeDocument/2006/relationships/image" Target="media/image22.png"/><Relationship Id="rId28" Type="http://schemas.openxmlformats.org/officeDocument/2006/relationships/image" Target="media/image21.png"/><Relationship Id="rId27" Type="http://schemas.openxmlformats.org/officeDocument/2006/relationships/image" Target="media/image20.png"/><Relationship Id="rId26" Type="http://schemas.openxmlformats.org/officeDocument/2006/relationships/image" Target="media/image19.png"/><Relationship Id="rId25" Type="http://schemas.openxmlformats.org/officeDocument/2006/relationships/image" Target="media/image18.png"/><Relationship Id="rId24" Type="http://schemas.openxmlformats.org/officeDocument/2006/relationships/image" Target="media/image17.png"/><Relationship Id="rId23" Type="http://schemas.openxmlformats.org/officeDocument/2006/relationships/image" Target="media/image16.png"/><Relationship Id="rId22" Type="http://schemas.openxmlformats.org/officeDocument/2006/relationships/image" Target="media/image15.png"/><Relationship Id="rId21" Type="http://schemas.openxmlformats.org/officeDocument/2006/relationships/image" Target="media/image14.png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3AA2E1-5FEE-40C9-9A38-EB2C19C8C1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548</Words>
  <Characters>3128</Characters>
  <Lines>26</Lines>
  <Paragraphs>7</Paragraphs>
  <TotalTime>61</TotalTime>
  <ScaleCrop>false</ScaleCrop>
  <LinksUpToDate>false</LinksUpToDate>
  <CharactersWithSpaces>3669</CharactersWithSpaces>
  <Application>WPS Office_11.8.2.11716_F1E327BC-269C-435d-A152-05C5408002CA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2022-05-18T07:22:00Z</dcterms:created>
  <dc:creator>zhaijingya</dc:creator>
  <cp:lastModifiedBy>zhaijingya</cp:lastModifiedBy>
  <dcterms:modified xsi:type="dcterms:W3CDTF">2023-11-27T07:30:26Z</dcterms:modified>
  <cp:revision>52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2052-11.8.2.11716</vt:lpwstr>
  </property>
  <property fmtid="{D5CDD505-2E9C-101B-9397-08002B2CF9AE}" pid="3" name="ICV">
    <vt:lpwstr>7E773B94217646C9858A454972810A4A</vt:lpwstr>
  </property>
</Properties>
</file>